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7CD" w:rsidP="00D657CD" w:rsidRDefault="00D657CD" w14:paraId="5EA94D62" w14:textId="6E34F603">
      <w:r w:rsidRPr="013EE1EA" w:rsidR="013EE1EA">
        <w:rPr>
          <w:b w:val="1"/>
          <w:bCs w:val="1"/>
        </w:rPr>
        <w:t>CARC CODE CO16</w:t>
      </w:r>
      <w:r w:rsidR="013EE1EA">
        <w:rPr/>
        <w:t xml:space="preserve"> - </w:t>
      </w:r>
      <w:r w:rsidRPr="013EE1EA" w:rsidR="013EE1EA">
        <w:rPr>
          <w:rFonts w:ascii="Aptos" w:hAnsi="Aptos" w:eastAsia="Aptos" w:cs="Aptos"/>
          <w:noProof w:val="0"/>
          <w:sz w:val="24"/>
          <w:szCs w:val="24"/>
          <w:lang w:val="en-US"/>
        </w:rPr>
        <w:t>Claim/Service Lacks Information or Has Submission/Billing Error(s):</w:t>
      </w:r>
    </w:p>
    <w:p w:rsidRPr="00D657CD" w:rsidR="00D657CD" w:rsidP="013EE1EA" w:rsidRDefault="00D657CD" w14:paraId="13539669" w14:textId="0931BAB1">
      <w:pPr>
        <w:rPr>
          <w:rFonts w:ascii="Aptos" w:hAnsi="Aptos" w:eastAsia="Aptos" w:cs="Aptos"/>
          <w:noProof w:val="0"/>
          <w:sz w:val="24"/>
          <w:szCs w:val="24"/>
          <w:lang w:val="en-US"/>
        </w:rPr>
      </w:pPr>
      <w:r w:rsidRPr="013EE1EA" w:rsidR="013EE1EA">
        <w:rPr>
          <w:rFonts w:ascii="Aptos" w:hAnsi="Aptos" w:eastAsia="Aptos" w:cs="Aptos"/>
          <w:noProof w:val="0"/>
          <w:sz w:val="24"/>
          <w:szCs w:val="24"/>
          <w:lang w:val="en-US"/>
        </w:rPr>
        <w:t xml:space="preserve">Description - This denial </w:t>
      </w:r>
      <w:r w:rsidRPr="013EE1EA" w:rsidR="013EE1EA">
        <w:rPr>
          <w:rFonts w:ascii="Aptos" w:hAnsi="Aptos" w:eastAsia="Aptos" w:cs="Aptos"/>
          <w:noProof w:val="0"/>
          <w:sz w:val="24"/>
          <w:szCs w:val="24"/>
          <w:lang w:val="en-US"/>
        </w:rPr>
        <w:t>indicates</w:t>
      </w:r>
      <w:r w:rsidRPr="013EE1EA" w:rsidR="013EE1EA">
        <w:rPr>
          <w:rFonts w:ascii="Aptos" w:hAnsi="Aptos" w:eastAsia="Aptos" w:cs="Aptos"/>
          <w:noProof w:val="0"/>
          <w:sz w:val="24"/>
          <w:szCs w:val="24"/>
          <w:lang w:val="en-US"/>
        </w:rPr>
        <w:t xml:space="preserve"> that the claim is missing required information or </w:t>
      </w:r>
      <w:r w:rsidRPr="013EE1EA" w:rsidR="013EE1EA">
        <w:rPr>
          <w:rFonts w:ascii="Aptos" w:hAnsi="Aptos" w:eastAsia="Aptos" w:cs="Aptos"/>
          <w:noProof w:val="0"/>
          <w:sz w:val="24"/>
          <w:szCs w:val="24"/>
          <w:lang w:val="en-US"/>
        </w:rPr>
        <w:t>contains</w:t>
      </w:r>
      <w:r w:rsidRPr="013EE1EA" w:rsidR="013EE1EA">
        <w:rPr>
          <w:rFonts w:ascii="Aptos" w:hAnsi="Aptos" w:eastAsia="Aptos" w:cs="Aptos"/>
          <w:noProof w:val="0"/>
          <w:sz w:val="24"/>
          <w:szCs w:val="24"/>
          <w:lang w:val="en-US"/>
        </w:rPr>
        <w:t xml:space="preserve"> errors (e.g., missing codes, incorrect patient info, or incomplete documentation).  </w:t>
      </w:r>
      <w:r w:rsidR="013EE1EA">
        <w:rPr/>
        <w:t>When a claim is denied with CARC (Claim Adjustment Reason Code) 16, it means "Claim/service lacks information or has submission/billing error(s)." This indicates that the claim was incomplete or had errors that prevented it from being processed correctly.   See Remark code that is associated with the CARC code CO16 to determine what information is being requested.</w:t>
      </w:r>
    </w:p>
    <w:p w:rsidRPr="00D657CD" w:rsidR="00D657CD" w:rsidP="013EE1EA" w:rsidRDefault="00D657CD" w14:paraId="09703C26" w14:textId="6ACFF157">
      <w:pPr>
        <w:spacing w:before="0" w:beforeAutospacing="off" w:after="160" w:afterAutospacing="off" w:line="257" w:lineRule="auto"/>
      </w:pPr>
      <w:r w:rsidRPr="013EE1EA" w:rsidR="013EE1EA">
        <w:rPr>
          <w:rFonts w:ascii="Aptos" w:hAnsi="Aptos" w:eastAsia="Aptos" w:cs="Aptos"/>
          <w:noProof w:val="0"/>
          <w:sz w:val="22"/>
          <w:szCs w:val="22"/>
          <w:lang w:val="en-US"/>
        </w:rPr>
        <w:t xml:space="preserve">Next Steps: </w:t>
      </w:r>
    </w:p>
    <w:p w:rsidRPr="00D657CD" w:rsidR="00D657CD" w:rsidP="013EE1EA" w:rsidRDefault="00D657CD" w14:paraId="33275325" w14:textId="7964F61E">
      <w:pPr>
        <w:spacing w:before="0" w:beforeAutospacing="off" w:after="160" w:afterAutospacing="off" w:line="257" w:lineRule="auto"/>
      </w:pPr>
      <w:r w:rsidRPr="013EE1EA" w:rsidR="013EE1EA">
        <w:rPr>
          <w:rFonts w:ascii="Aptos" w:hAnsi="Aptos" w:eastAsia="Aptos" w:cs="Aptos"/>
          <w:b w:val="1"/>
          <w:bCs w:val="1"/>
          <w:noProof w:val="0"/>
          <w:sz w:val="22"/>
          <w:szCs w:val="22"/>
          <w:lang w:val="en-US"/>
        </w:rPr>
        <w:t>Handling Denials for this CARC Code:</w:t>
      </w:r>
      <w:r w:rsidRPr="013EE1EA" w:rsidR="013EE1EA">
        <w:rPr>
          <w:rFonts w:ascii="Aptos" w:hAnsi="Aptos" w:eastAsia="Aptos" w:cs="Aptos"/>
          <w:noProof w:val="0"/>
          <w:sz w:val="22"/>
          <w:szCs w:val="22"/>
          <w:lang w:val="en-US"/>
        </w:rPr>
        <w:t xml:space="preserve"> </w:t>
      </w:r>
    </w:p>
    <w:p w:rsidRPr="00D657CD" w:rsidR="00D657CD" w:rsidP="013EE1EA" w:rsidRDefault="00D657CD" w14:paraId="0E2D67CB" w14:textId="3FACCE11">
      <w:pPr>
        <w:spacing w:before="0" w:beforeAutospacing="off" w:after="160" w:afterAutospacing="off" w:line="257" w:lineRule="auto"/>
      </w:pPr>
      <w:r w:rsidRPr="013EE1EA" w:rsidR="013EE1EA">
        <w:rPr>
          <w:rFonts w:ascii="Aptos" w:hAnsi="Aptos" w:eastAsia="Aptos" w:cs="Aptos"/>
          <w:noProof w:val="0"/>
          <w:sz w:val="22"/>
          <w:szCs w:val="22"/>
          <w:lang w:val="en-US"/>
        </w:rPr>
        <w:t xml:space="preserve">Before continuing to workflow Please ensure we are using all available resources to determine the appropriate authorization information. Consider the following scenarios when a claim is denied for lack of authorization: </w:t>
      </w:r>
    </w:p>
    <w:p w:rsidRPr="00D657CD" w:rsidR="00D657CD" w:rsidP="013EE1EA" w:rsidRDefault="00D657CD" w14:paraId="4435AB18" w14:textId="76713B72">
      <w:pPr>
        <w:pStyle w:val="ListParagraph"/>
        <w:numPr>
          <w:ilvl w:val="0"/>
          <w:numId w:val="20"/>
        </w:numPr>
        <w:spacing w:before="0" w:beforeAutospacing="off" w:after="0" w:afterAutospacing="off" w:line="257" w:lineRule="auto"/>
        <w:ind w:left="720" w:right="0" w:hanging="360"/>
        <w:rPr>
          <w:rFonts w:ascii="Aptos" w:hAnsi="Aptos" w:eastAsia="Aptos" w:cs="Aptos"/>
          <w:noProof w:val="0"/>
          <w:sz w:val="22"/>
          <w:szCs w:val="22"/>
          <w:lang w:val="en-US"/>
        </w:rPr>
      </w:pPr>
      <w:r w:rsidRPr="013EE1EA" w:rsidR="013EE1EA">
        <w:rPr>
          <w:rFonts w:ascii="Aptos" w:hAnsi="Aptos" w:eastAsia="Aptos" w:cs="Aptos"/>
          <w:noProof w:val="0"/>
          <w:sz w:val="22"/>
          <w:szCs w:val="22"/>
          <w:lang w:val="en-US"/>
        </w:rPr>
        <w:t>Use all available resources (Client system, Payer Portals, Payer Policies, Client SOP’s, Standing Rules, PhyTech Workflows, etc…)</w:t>
      </w:r>
    </w:p>
    <w:p w:rsidRPr="00D657CD" w:rsidR="00D657CD" w:rsidP="013EE1EA" w:rsidRDefault="00D657CD" w14:paraId="2A1BD888" w14:textId="528D5BD3">
      <w:pPr>
        <w:pStyle w:val="ListParagraph"/>
        <w:numPr>
          <w:ilvl w:val="1"/>
          <w:numId w:val="20"/>
        </w:numPr>
        <w:spacing w:before="0" w:beforeAutospacing="off" w:after="0" w:afterAutospacing="off" w:line="257" w:lineRule="auto"/>
        <w:ind w:left="1440" w:right="0" w:hanging="360"/>
        <w:rPr>
          <w:rFonts w:ascii="Aptos" w:hAnsi="Aptos" w:eastAsia="Aptos" w:cs="Aptos"/>
          <w:noProof w:val="0"/>
          <w:sz w:val="22"/>
          <w:szCs w:val="22"/>
          <w:lang w:val="en-US"/>
        </w:rPr>
      </w:pPr>
      <w:r w:rsidRPr="013EE1EA" w:rsidR="013EE1EA">
        <w:rPr>
          <w:rFonts w:ascii="Aptos" w:hAnsi="Aptos" w:eastAsia="Aptos" w:cs="Aptos"/>
          <w:noProof w:val="0"/>
          <w:sz w:val="22"/>
          <w:szCs w:val="22"/>
          <w:lang w:val="en-US"/>
        </w:rPr>
        <w:t>Standing Rule Note</w:t>
      </w:r>
      <w:r w:rsidRPr="013EE1EA" w:rsidR="013EE1EA">
        <w:rPr>
          <w:rFonts w:ascii="Aptos" w:hAnsi="Aptos" w:eastAsia="Aptos" w:cs="Aptos"/>
          <w:noProof w:val="0"/>
          <w:sz w:val="22"/>
          <w:szCs w:val="22"/>
          <w:lang w:val="en-US"/>
        </w:rPr>
        <w:t>:  (</w:t>
      </w:r>
      <w:r w:rsidRPr="013EE1EA" w:rsidR="013EE1EA">
        <w:rPr>
          <w:rFonts w:ascii="Aptos" w:hAnsi="Aptos" w:eastAsia="Aptos" w:cs="Aptos"/>
          <w:noProof w:val="0"/>
          <w:sz w:val="22"/>
          <w:szCs w:val="22"/>
          <w:lang w:val="en-US"/>
        </w:rPr>
        <w:t>Check Standing Rules and SOP’s - Do NOT add to NEEDBACK if client already has a standing rule to adjust off and/or adjust to CASH) – Apply the standing rule to your claim.</w:t>
      </w:r>
    </w:p>
    <w:p w:rsidRPr="00D657CD" w:rsidR="00D657CD" w:rsidP="013EE1EA" w:rsidRDefault="00D657CD" w14:paraId="73CDFE5F" w14:textId="398F1FAD">
      <w:pPr>
        <w:pStyle w:val="ListParagraph"/>
        <w:numPr>
          <w:ilvl w:val="0"/>
          <w:numId w:val="20"/>
        </w:numPr>
        <w:spacing w:before="0" w:beforeAutospacing="off" w:after="0" w:afterAutospacing="off" w:line="257" w:lineRule="auto"/>
        <w:ind w:right="0"/>
        <w:rPr/>
      </w:pPr>
      <w:r w:rsidR="013EE1EA">
        <w:rPr/>
        <w:t>Access the ACCOUNT LEDGER and read ALL notes – not just the notes in the queue  </w:t>
      </w:r>
    </w:p>
    <w:p w:rsidRPr="00D657CD" w:rsidR="00D657CD" w:rsidP="013EE1EA" w:rsidRDefault="00D657CD" w14:paraId="363049A1" w14:textId="71A4428B">
      <w:pPr>
        <w:pStyle w:val="ListParagraph"/>
        <w:numPr>
          <w:ilvl w:val="0"/>
          <w:numId w:val="20"/>
        </w:numPr>
        <w:spacing w:before="0" w:beforeAutospacing="off" w:after="0" w:afterAutospacing="off" w:line="257" w:lineRule="auto"/>
        <w:ind w:right="0"/>
        <w:rPr/>
      </w:pPr>
      <w:r w:rsidR="013EE1EA">
        <w:rPr/>
        <w:t xml:space="preserve">Follow guidelines on   sending </w:t>
      </w:r>
      <w:r w:rsidR="013EE1EA">
        <w:rPr/>
        <w:t>additional</w:t>
      </w:r>
      <w:r w:rsidR="013EE1EA">
        <w:rPr/>
        <w:t xml:space="preserve"> information to the payer. </w:t>
      </w:r>
    </w:p>
    <w:p w:rsidRPr="00D657CD" w:rsidR="00D657CD" w:rsidP="013EE1EA" w:rsidRDefault="00D657CD" w14:paraId="6FE6B88F" w14:textId="673057A3">
      <w:pPr>
        <w:pStyle w:val="ListParagraph"/>
        <w:numPr>
          <w:ilvl w:val="0"/>
          <w:numId w:val="20"/>
        </w:numPr>
        <w:spacing w:before="0" w:beforeAutospacing="off" w:after="0" w:afterAutospacing="off" w:line="257" w:lineRule="auto"/>
        <w:ind w:right="0"/>
        <w:rPr/>
      </w:pPr>
      <w:r w:rsidR="013EE1EA">
        <w:rPr/>
        <w:t>Check the Client System for information, as needed.  </w:t>
      </w:r>
    </w:p>
    <w:p w:rsidRPr="00D657CD" w:rsidR="00D657CD" w:rsidP="013EE1EA" w:rsidRDefault="00D657CD" w14:paraId="774C5998" w14:textId="59048421">
      <w:pPr>
        <w:pStyle w:val="ListParagraph"/>
        <w:numPr>
          <w:ilvl w:val="0"/>
          <w:numId w:val="20"/>
        </w:numPr>
        <w:spacing w:before="0" w:beforeAutospacing="off" w:after="0" w:afterAutospacing="off" w:line="257" w:lineRule="auto"/>
        <w:ind w:right="0"/>
        <w:rPr>
          <w:rFonts w:ascii="Aptos" w:hAnsi="Aptos" w:eastAsia="Aptos" w:cs="Aptos"/>
          <w:noProof w:val="0"/>
          <w:sz w:val="22"/>
          <w:szCs w:val="22"/>
          <w:lang w:val="en-US"/>
        </w:rPr>
      </w:pPr>
      <w:r w:rsidR="013EE1EA">
        <w:rPr/>
        <w:t>Check the Available Portals for information, as needed. </w:t>
      </w:r>
    </w:p>
    <w:p w:rsidR="00D657CD" w:rsidP="00D657CD" w:rsidRDefault="00D657CD" w14:paraId="271F8ED4" w14:textId="77777777">
      <w:pPr>
        <w:pStyle w:val="NoSpacing"/>
      </w:pPr>
    </w:p>
    <w:p w:rsidR="00D657CD" w:rsidP="00D657CD" w:rsidRDefault="00D657CD" w14:paraId="0E76929D" w14:textId="77777777">
      <w:pPr>
        <w:pStyle w:val="NoSpacing"/>
      </w:pPr>
    </w:p>
    <w:p w:rsidRPr="00D657CD" w:rsidR="00D657CD" w:rsidP="00D657CD" w:rsidRDefault="00D657CD" w14:paraId="05AC8DDD" w14:textId="03E24B76">
      <w:pPr>
        <w:pStyle w:val="NoSpacing"/>
        <w:rPr>
          <w:b/>
          <w:bCs/>
        </w:rPr>
      </w:pPr>
      <w:r w:rsidRPr="00D657CD">
        <w:rPr>
          <w:b/>
          <w:bCs/>
        </w:rPr>
        <w:t>Additional Information/Medical Records</w:t>
      </w:r>
    </w:p>
    <w:p w:rsidR="00D657CD" w:rsidP="00D657CD" w:rsidRDefault="00D657CD" w14:paraId="1BA87839" w14:textId="77777777">
      <w:pPr>
        <w:pStyle w:val="NoSpacing"/>
      </w:pPr>
    </w:p>
    <w:p w:rsidRPr="00D657CD" w:rsidR="00D657CD" w:rsidP="00D657CD" w:rsidRDefault="00D657CD" w14:paraId="5DBA6594" w14:textId="77777777">
      <w:pPr>
        <w:pStyle w:val="NoSpacing"/>
        <w:numPr>
          <w:ilvl w:val="0"/>
          <w:numId w:val="19"/>
        </w:numPr>
      </w:pPr>
      <w:r w:rsidRPr="00D657CD">
        <w:t>Prepare Required Documentation </w:t>
      </w:r>
    </w:p>
    <w:p w:rsidRPr="00D657CD" w:rsidR="00D657CD" w:rsidP="00D657CD" w:rsidRDefault="00D657CD" w14:paraId="52D7C74A" w14:textId="77777777">
      <w:pPr>
        <w:pStyle w:val="NoSpacing"/>
        <w:numPr>
          <w:ilvl w:val="1"/>
          <w:numId w:val="19"/>
        </w:numPr>
      </w:pPr>
      <w:r w:rsidRPr="00D657CD">
        <w:t>Gather and organize any additional documentation required by the payer. </w:t>
      </w:r>
    </w:p>
    <w:p w:rsidR="00D657CD" w:rsidP="00D657CD" w:rsidRDefault="00D657CD" w14:paraId="3B054AA2" w14:textId="77777777">
      <w:pPr>
        <w:pStyle w:val="NoSpacing"/>
        <w:numPr>
          <w:ilvl w:val="1"/>
          <w:numId w:val="19"/>
        </w:numPr>
      </w:pPr>
      <w:r w:rsidRPr="00D657CD">
        <w:t>Ensure that all documents are complete, accurate, and properly formatted. </w:t>
      </w:r>
    </w:p>
    <w:p w:rsidR="00D657CD" w:rsidP="00D657CD" w:rsidRDefault="00D657CD" w14:paraId="2848E23C" w14:textId="79E24415">
      <w:pPr>
        <w:pStyle w:val="NoSpacing"/>
        <w:numPr>
          <w:ilvl w:val="0"/>
          <w:numId w:val="19"/>
        </w:numPr>
      </w:pPr>
      <w:r>
        <w:t>Submit the Documentation to the payer via Fax, Portal or email</w:t>
      </w:r>
    </w:p>
    <w:p w:rsidR="00D657CD" w:rsidP="00D657CD" w:rsidRDefault="00D657CD" w14:paraId="4DAED15E" w14:textId="15E05EEB">
      <w:pPr>
        <w:pStyle w:val="NoSpacing"/>
        <w:numPr>
          <w:ilvl w:val="0"/>
          <w:numId w:val="19"/>
        </w:numPr>
      </w:pPr>
      <w:proofErr w:type="gramStart"/>
      <w:r>
        <w:t>Reassign to</w:t>
      </w:r>
      <w:proofErr w:type="gramEnd"/>
      <w:r>
        <w:t xml:space="preserve"> the A-Aging work queue for 22 days</w:t>
      </w:r>
    </w:p>
    <w:p w:rsidR="00D657CD" w:rsidP="00D657CD" w:rsidRDefault="00D657CD" w14:paraId="11143624" w14:textId="360A811B">
      <w:pPr>
        <w:pStyle w:val="NoSpacing"/>
        <w:numPr>
          <w:ilvl w:val="0"/>
          <w:numId w:val="19"/>
        </w:numPr>
      </w:pPr>
      <w:r>
        <w:t>Follow up on submission / updated status</w:t>
      </w:r>
    </w:p>
    <w:p w:rsidR="00C462DE" w:rsidP="00C462DE" w:rsidRDefault="00C462DE" w14:paraId="62BD263D" w14:textId="77777777">
      <w:pPr>
        <w:pStyle w:val="NoSpacing"/>
      </w:pPr>
    </w:p>
    <w:p w:rsidR="00C462DE" w:rsidP="00C462DE" w:rsidRDefault="00C462DE" w14:paraId="3E1AAD78" w14:textId="77777777">
      <w:pPr>
        <w:pStyle w:val="NoSpacing"/>
      </w:pPr>
    </w:p>
    <w:p w:rsidR="00C462DE" w:rsidP="00C462DE" w:rsidRDefault="00C462DE" w14:paraId="11FB3A18" w14:textId="4EBF716B">
      <w:pPr>
        <w:pStyle w:val="NoSpacing"/>
        <w:rPr>
          <w:b/>
          <w:bCs/>
        </w:rPr>
      </w:pPr>
      <w:r w:rsidRPr="00C462DE">
        <w:rPr>
          <w:b/>
          <w:bCs/>
        </w:rPr>
        <w:t>Invalid DX/CPT/POS</w:t>
      </w:r>
    </w:p>
    <w:p w:rsidR="00C462DE" w:rsidP="00C462DE" w:rsidRDefault="00C462DE" w14:paraId="477F1E6C" w14:textId="7A9C5CF2">
      <w:pPr>
        <w:pStyle w:val="NoSpacing"/>
        <w:numPr>
          <w:ilvl w:val="0"/>
          <w:numId w:val="19"/>
        </w:numPr>
        <w:rPr>
          <w:b/>
          <w:bCs/>
        </w:rPr>
      </w:pPr>
      <w:r>
        <w:rPr>
          <w:b/>
          <w:bCs/>
        </w:rPr>
        <w:t>Payers are denying claims for invalid CPT DX and/or POS</w:t>
      </w:r>
    </w:p>
    <w:p w:rsidRPr="00D657CD" w:rsidR="00C462DE" w:rsidP="00C462DE" w:rsidRDefault="00C462DE" w14:paraId="2651AE8B" w14:textId="5182D2E5">
      <w:pPr>
        <w:pStyle w:val="NoSpacing"/>
        <w:numPr>
          <w:ilvl w:val="1"/>
          <w:numId w:val="19"/>
        </w:numPr>
        <w:rPr>
          <w:b/>
          <w:bCs/>
        </w:rPr>
      </w:pPr>
      <w:r>
        <w:rPr>
          <w:b/>
          <w:bCs/>
        </w:rPr>
        <w:t>Labs are to be billed with POS81 – if 81 is on the claim, have these sent back</w:t>
      </w:r>
    </w:p>
    <w:p w:rsidRPr="00D657CD" w:rsidR="00D657CD" w:rsidP="00D657CD" w:rsidRDefault="00D657CD" w14:paraId="3C78513C" w14:textId="77777777">
      <w:pPr>
        <w:pStyle w:val="NoSpacing"/>
      </w:pPr>
    </w:p>
    <w:p w:rsidR="007B5BBC" w:rsidP="00D657CD" w:rsidRDefault="007B5BBC" w14:paraId="707E119E" w14:textId="77777777">
      <w:pPr>
        <w:pStyle w:val="NoSpacing"/>
      </w:pPr>
    </w:p>
    <w:sectPr w:rsidR="007B5B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421c39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4384D2C"/>
    <w:multiLevelType w:val="multilevel"/>
    <w:tmpl w:val="A7001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52E2B"/>
    <w:multiLevelType w:val="multilevel"/>
    <w:tmpl w:val="E0B05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D42E01"/>
    <w:multiLevelType w:val="multilevel"/>
    <w:tmpl w:val="17F8D7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B3E5427"/>
    <w:multiLevelType w:val="multilevel"/>
    <w:tmpl w:val="5A086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D56A6"/>
    <w:multiLevelType w:val="multilevel"/>
    <w:tmpl w:val="C296A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61798"/>
    <w:multiLevelType w:val="multilevel"/>
    <w:tmpl w:val="9AD2F19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7EE1237"/>
    <w:multiLevelType w:val="hybridMultilevel"/>
    <w:tmpl w:val="1F602EA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AC57D98"/>
    <w:multiLevelType w:val="multilevel"/>
    <w:tmpl w:val="E4C87F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E9B2A9B"/>
    <w:multiLevelType w:val="multilevel"/>
    <w:tmpl w:val="4C5E1E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9F7515"/>
    <w:multiLevelType w:val="multilevel"/>
    <w:tmpl w:val="D7F8DF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9D784C"/>
    <w:multiLevelType w:val="multilevel"/>
    <w:tmpl w:val="ABECEB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4F06202"/>
    <w:multiLevelType w:val="hybridMultilevel"/>
    <w:tmpl w:val="8AD2378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6FD7354"/>
    <w:multiLevelType w:val="multilevel"/>
    <w:tmpl w:val="6324F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8D35080"/>
    <w:multiLevelType w:val="multilevel"/>
    <w:tmpl w:val="0E88D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83EFD"/>
    <w:multiLevelType w:val="multilevel"/>
    <w:tmpl w:val="70DC0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D10828"/>
    <w:multiLevelType w:val="multilevel"/>
    <w:tmpl w:val="47BEB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81D5299"/>
    <w:multiLevelType w:val="hybridMultilevel"/>
    <w:tmpl w:val="E86066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D1E3932"/>
    <w:multiLevelType w:val="multilevel"/>
    <w:tmpl w:val="0442BE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D10272"/>
    <w:multiLevelType w:val="multilevel"/>
    <w:tmpl w:val="EC48245E"/>
    <w:lvl w:ilvl="0">
      <w:start w:val="7"/>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20">
    <w:abstractNumId w:val="19"/>
  </w:num>
  <w:num w:numId="1" w16cid:durableId="341511322">
    <w:abstractNumId w:val="14"/>
  </w:num>
  <w:num w:numId="2" w16cid:durableId="1441489413">
    <w:abstractNumId w:val="3"/>
  </w:num>
  <w:num w:numId="3" w16cid:durableId="1297103911">
    <w:abstractNumId w:val="4"/>
  </w:num>
  <w:num w:numId="4" w16cid:durableId="628634370">
    <w:abstractNumId w:val="15"/>
  </w:num>
  <w:num w:numId="5" w16cid:durableId="1183980583">
    <w:abstractNumId w:val="2"/>
  </w:num>
  <w:num w:numId="6" w16cid:durableId="1811512599">
    <w:abstractNumId w:val="8"/>
  </w:num>
  <w:num w:numId="7" w16cid:durableId="1033728832">
    <w:abstractNumId w:val="9"/>
  </w:num>
  <w:num w:numId="8" w16cid:durableId="1173061397">
    <w:abstractNumId w:val="7"/>
  </w:num>
  <w:num w:numId="9" w16cid:durableId="1601454373">
    <w:abstractNumId w:val="5"/>
  </w:num>
  <w:num w:numId="10" w16cid:durableId="1880118277">
    <w:abstractNumId w:val="13"/>
  </w:num>
  <w:num w:numId="11" w16cid:durableId="1355183525">
    <w:abstractNumId w:val="0"/>
  </w:num>
  <w:num w:numId="12" w16cid:durableId="1196696059">
    <w:abstractNumId w:val="17"/>
  </w:num>
  <w:num w:numId="13" w16cid:durableId="389694969">
    <w:abstractNumId w:val="12"/>
  </w:num>
  <w:num w:numId="14" w16cid:durableId="1009410384">
    <w:abstractNumId w:val="16"/>
  </w:num>
  <w:num w:numId="15" w16cid:durableId="2007593771">
    <w:abstractNumId w:val="6"/>
  </w:num>
  <w:num w:numId="16" w16cid:durableId="1303460932">
    <w:abstractNumId w:val="18"/>
  </w:num>
  <w:num w:numId="17" w16cid:durableId="269120353">
    <w:abstractNumId w:val="10"/>
  </w:num>
  <w:num w:numId="18" w16cid:durableId="899051747">
    <w:abstractNumId w:val="1"/>
  </w:num>
  <w:num w:numId="19" w16cid:durableId="363989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CD"/>
    <w:rsid w:val="000A607D"/>
    <w:rsid w:val="007B5BBC"/>
    <w:rsid w:val="009E1A30"/>
    <w:rsid w:val="00C462DE"/>
    <w:rsid w:val="00D657CD"/>
    <w:rsid w:val="013EE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A125"/>
  <w15:chartTrackingRefBased/>
  <w15:docId w15:val="{AF63949C-2B52-4CDE-A646-5F019F95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D657CD"/>
    <w:pPr>
      <w:spacing w:after="0" w:line="240" w:lineRule="auto"/>
    </w:pPr>
  </w:style>
  <w:style w:type="paragraph" w:styleId="ListParagraph">
    <w:uiPriority w:val="34"/>
    <w:name w:val="List Paragraph"/>
    <w:basedOn w:val="Normal"/>
    <w:qFormat/>
    <w:rsid w:val="013EE1E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2150">
      <w:bodyDiv w:val="1"/>
      <w:marLeft w:val="0"/>
      <w:marRight w:val="0"/>
      <w:marTop w:val="0"/>
      <w:marBottom w:val="0"/>
      <w:divBdr>
        <w:top w:val="none" w:sz="0" w:space="0" w:color="auto"/>
        <w:left w:val="none" w:sz="0" w:space="0" w:color="auto"/>
        <w:bottom w:val="none" w:sz="0" w:space="0" w:color="auto"/>
        <w:right w:val="none" w:sz="0" w:space="0" w:color="auto"/>
      </w:divBdr>
    </w:div>
    <w:div w:id="455295355">
      <w:bodyDiv w:val="1"/>
      <w:marLeft w:val="0"/>
      <w:marRight w:val="0"/>
      <w:marTop w:val="0"/>
      <w:marBottom w:val="0"/>
      <w:divBdr>
        <w:top w:val="none" w:sz="0" w:space="0" w:color="auto"/>
        <w:left w:val="none" w:sz="0" w:space="0" w:color="auto"/>
        <w:bottom w:val="none" w:sz="0" w:space="0" w:color="auto"/>
        <w:right w:val="none" w:sz="0" w:space="0" w:color="auto"/>
      </w:divBdr>
    </w:div>
    <w:div w:id="921178974">
      <w:bodyDiv w:val="1"/>
      <w:marLeft w:val="0"/>
      <w:marRight w:val="0"/>
      <w:marTop w:val="0"/>
      <w:marBottom w:val="0"/>
      <w:divBdr>
        <w:top w:val="none" w:sz="0" w:space="0" w:color="auto"/>
        <w:left w:val="none" w:sz="0" w:space="0" w:color="auto"/>
        <w:bottom w:val="none" w:sz="0" w:space="0" w:color="auto"/>
        <w:right w:val="none" w:sz="0" w:space="0" w:color="auto"/>
      </w:divBdr>
    </w:div>
    <w:div w:id="15228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Patterson</dc:creator>
  <keywords/>
  <dc:description/>
  <lastModifiedBy>JENNIFER PATTERSON</lastModifiedBy>
  <revision>2</revision>
  <dcterms:created xsi:type="dcterms:W3CDTF">2025-03-24T17:52:00.0000000Z</dcterms:created>
  <dcterms:modified xsi:type="dcterms:W3CDTF">2025-06-19T18:19:24.2723453Z</dcterms:modified>
</coreProperties>
</file>