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3C94" w14:textId="77777777" w:rsidR="00594BFD" w:rsidRPr="00594BFD" w:rsidRDefault="00594BFD" w:rsidP="00594BFD">
      <w:pPr>
        <w:rPr>
          <w:b/>
          <w:bCs/>
        </w:rPr>
      </w:pPr>
      <w:r w:rsidRPr="00594BFD">
        <w:rPr>
          <w:b/>
          <w:bCs/>
        </w:rPr>
        <w:t>CARC Code 108 – Rent/Purchase Guidelines Were Not Met:</w:t>
      </w:r>
      <w:r w:rsidRPr="00594BFD">
        <w:rPr>
          <w:b/>
          <w:bCs/>
        </w:rPr>
        <w:br/>
        <w:t>This denial indicates that the claim was rejected because the payer’s criteria for rental or purchase of durable medical equipment (DME) or similar items were not followed. This may include billing for a purchase when only rental is allowed, missing documentation, or exceeding rental limits.</w:t>
      </w:r>
    </w:p>
    <w:p w14:paraId="5EA0E3CA" w14:textId="77777777" w:rsidR="00594BFD" w:rsidRPr="00594BFD" w:rsidRDefault="00594BFD" w:rsidP="00594BFD">
      <w:pPr>
        <w:rPr>
          <w:b/>
          <w:bCs/>
        </w:rPr>
      </w:pPr>
      <w:r w:rsidRPr="00594BFD">
        <w:rPr>
          <w:b/>
          <w:bCs/>
        </w:rPr>
        <w:t>Next Steps:</w:t>
      </w:r>
      <w:r w:rsidRPr="00594BFD">
        <w:rPr>
          <w:b/>
          <w:bCs/>
        </w:rPr>
        <w:br/>
        <w:t>Handling Denials for this CARC Code:</w:t>
      </w:r>
      <w:r w:rsidRPr="00594BFD">
        <w:rPr>
          <w:b/>
          <w:bCs/>
        </w:rPr>
        <w:br/>
        <w:t>Before continuing to workflow, please ensure all payer-specific DME rental/purchase policies are reviewed and applied correctly. Consider the following when this denial occurs:</w:t>
      </w:r>
    </w:p>
    <w:p w14:paraId="5D4F971F" w14:textId="77777777" w:rsidR="00594BFD" w:rsidRPr="00594BFD" w:rsidRDefault="00594BFD" w:rsidP="00594BFD">
      <w:pPr>
        <w:numPr>
          <w:ilvl w:val="0"/>
          <w:numId w:val="3"/>
        </w:numPr>
        <w:rPr>
          <w:b/>
          <w:bCs/>
        </w:rPr>
      </w:pPr>
      <w:r w:rsidRPr="00594BFD">
        <w:rPr>
          <w:b/>
          <w:bCs/>
        </w:rPr>
        <w:t xml:space="preserve">Use all available resources (Client system, Payer Portals, Payer Policies, Client SOPs, Standing Rules, </w:t>
      </w:r>
      <w:proofErr w:type="spellStart"/>
      <w:r w:rsidRPr="00594BFD">
        <w:rPr>
          <w:b/>
          <w:bCs/>
        </w:rPr>
        <w:t>PhyTech</w:t>
      </w:r>
      <w:proofErr w:type="spellEnd"/>
      <w:r w:rsidRPr="00594BFD">
        <w:rPr>
          <w:b/>
          <w:bCs/>
        </w:rPr>
        <w:t xml:space="preserve"> Workflows, etc.)</w:t>
      </w:r>
    </w:p>
    <w:p w14:paraId="516558D4" w14:textId="77777777" w:rsidR="00594BFD" w:rsidRPr="00594BFD" w:rsidRDefault="00594BFD" w:rsidP="00594BFD">
      <w:pPr>
        <w:numPr>
          <w:ilvl w:val="1"/>
          <w:numId w:val="3"/>
        </w:numPr>
        <w:rPr>
          <w:b/>
          <w:bCs/>
        </w:rPr>
      </w:pPr>
      <w:r w:rsidRPr="00594BFD">
        <w:rPr>
          <w:b/>
          <w:bCs/>
        </w:rPr>
        <w:t>Standing Rule Note: (Check Standing Rules and SOPs – Do NOT add to NEEDBACK if the client already has a standing rule to adjust off and/or adjust to CASH) – Apply the standing rule to your claim.</w:t>
      </w:r>
    </w:p>
    <w:p w14:paraId="380D8B51" w14:textId="77777777" w:rsidR="00594BFD" w:rsidRPr="00594BFD" w:rsidRDefault="00594BFD" w:rsidP="00594BFD">
      <w:pPr>
        <w:rPr>
          <w:b/>
          <w:bCs/>
        </w:rPr>
      </w:pPr>
      <w:r w:rsidRPr="00594BFD">
        <w:rPr>
          <w:b/>
          <w:bCs/>
        </w:rPr>
        <w:t>Next Steps:</w:t>
      </w:r>
    </w:p>
    <w:p w14:paraId="7AA67525" w14:textId="77777777" w:rsidR="00594BFD" w:rsidRPr="00594BFD" w:rsidRDefault="00594BFD" w:rsidP="00594BFD">
      <w:pPr>
        <w:numPr>
          <w:ilvl w:val="0"/>
          <w:numId w:val="4"/>
        </w:numPr>
        <w:rPr>
          <w:b/>
          <w:bCs/>
        </w:rPr>
      </w:pPr>
      <w:r w:rsidRPr="00594BFD">
        <w:rPr>
          <w:b/>
          <w:bCs/>
        </w:rPr>
        <w:t>Review the claim and item billed to determine if it was submitted as a purchase or rental.</w:t>
      </w:r>
    </w:p>
    <w:p w14:paraId="5EE8FAA9" w14:textId="77777777" w:rsidR="00594BFD" w:rsidRPr="00594BFD" w:rsidRDefault="00594BFD" w:rsidP="00594BFD">
      <w:pPr>
        <w:numPr>
          <w:ilvl w:val="0"/>
          <w:numId w:val="4"/>
        </w:numPr>
        <w:rPr>
          <w:b/>
          <w:bCs/>
        </w:rPr>
      </w:pPr>
      <w:r w:rsidRPr="00594BFD">
        <w:rPr>
          <w:b/>
          <w:bCs/>
        </w:rPr>
        <w:t>Check payer guidelines for the item:</w:t>
      </w:r>
    </w:p>
    <w:p w14:paraId="2AE506BA" w14:textId="77777777" w:rsidR="00594BFD" w:rsidRPr="00594BFD" w:rsidRDefault="00594BFD" w:rsidP="00594BFD">
      <w:pPr>
        <w:numPr>
          <w:ilvl w:val="1"/>
          <w:numId w:val="4"/>
        </w:numPr>
        <w:rPr>
          <w:b/>
          <w:bCs/>
        </w:rPr>
      </w:pPr>
      <w:r w:rsidRPr="00594BFD">
        <w:rPr>
          <w:b/>
          <w:bCs/>
        </w:rPr>
        <w:t>Is it covered for purchase, rental, or both?</w:t>
      </w:r>
    </w:p>
    <w:p w14:paraId="2F3FE58A" w14:textId="77777777" w:rsidR="00594BFD" w:rsidRPr="00594BFD" w:rsidRDefault="00594BFD" w:rsidP="00594BFD">
      <w:pPr>
        <w:numPr>
          <w:ilvl w:val="1"/>
          <w:numId w:val="4"/>
        </w:numPr>
        <w:rPr>
          <w:b/>
          <w:bCs/>
        </w:rPr>
      </w:pPr>
      <w:r w:rsidRPr="00594BFD">
        <w:rPr>
          <w:b/>
          <w:bCs/>
        </w:rPr>
        <w:t>Is there a maximum rental period or specific documentation required?</w:t>
      </w:r>
    </w:p>
    <w:p w14:paraId="41559C0D" w14:textId="77777777" w:rsidR="00594BFD" w:rsidRPr="00594BFD" w:rsidRDefault="00594BFD" w:rsidP="00594BFD">
      <w:pPr>
        <w:numPr>
          <w:ilvl w:val="0"/>
          <w:numId w:val="4"/>
        </w:numPr>
        <w:rPr>
          <w:b/>
          <w:bCs/>
        </w:rPr>
      </w:pPr>
      <w:r w:rsidRPr="00594BFD">
        <w:rPr>
          <w:b/>
          <w:bCs/>
        </w:rPr>
        <w:t>If guidelines were not followed:</w:t>
      </w:r>
    </w:p>
    <w:p w14:paraId="0C506C0D" w14:textId="090AA57B" w:rsidR="00594BFD" w:rsidRPr="00594BFD" w:rsidRDefault="00594BFD" w:rsidP="00594BFD">
      <w:pPr>
        <w:numPr>
          <w:ilvl w:val="1"/>
          <w:numId w:val="4"/>
        </w:numPr>
        <w:rPr>
          <w:b/>
          <w:bCs/>
        </w:rPr>
      </w:pPr>
      <w:r w:rsidRPr="00594BFD">
        <w:rPr>
          <w:b/>
          <w:bCs/>
        </w:rPr>
        <w:t>Correct the billing format.</w:t>
      </w:r>
    </w:p>
    <w:p w14:paraId="044DF396" w14:textId="77777777" w:rsidR="00594BFD" w:rsidRPr="00594BFD" w:rsidRDefault="00594BFD" w:rsidP="00594BFD">
      <w:pPr>
        <w:numPr>
          <w:ilvl w:val="1"/>
          <w:numId w:val="4"/>
        </w:numPr>
        <w:rPr>
          <w:b/>
          <w:bCs/>
        </w:rPr>
      </w:pPr>
      <w:r w:rsidRPr="00594BFD">
        <w:rPr>
          <w:b/>
          <w:bCs/>
        </w:rPr>
        <w:t>Attach required documentation if missing (e.g., physician’s order, medical necessity, or trial period proof).</w:t>
      </w:r>
    </w:p>
    <w:p w14:paraId="3D867232" w14:textId="787B2284" w:rsidR="00594BFD" w:rsidRPr="00594BFD" w:rsidRDefault="00594BFD" w:rsidP="00594BFD">
      <w:pPr>
        <w:numPr>
          <w:ilvl w:val="0"/>
          <w:numId w:val="4"/>
        </w:numPr>
        <w:rPr>
          <w:b/>
          <w:bCs/>
        </w:rPr>
      </w:pPr>
      <w:r w:rsidRPr="00594BFD">
        <w:rPr>
          <w:b/>
          <w:bCs/>
        </w:rPr>
        <w:t>If the item exceeded limits or was billed inappropriately:</w:t>
      </w:r>
    </w:p>
    <w:p w14:paraId="69D7C48C" w14:textId="0D815E20" w:rsidR="00594BFD" w:rsidRPr="00594BFD" w:rsidRDefault="00594BFD" w:rsidP="00594BFD">
      <w:pPr>
        <w:numPr>
          <w:ilvl w:val="1"/>
          <w:numId w:val="4"/>
        </w:numPr>
        <w:rPr>
          <w:b/>
          <w:bCs/>
        </w:rPr>
      </w:pPr>
      <w:r>
        <w:rPr>
          <w:b/>
          <w:bCs/>
        </w:rPr>
        <w:t xml:space="preserve">Add to client </w:t>
      </w:r>
      <w:proofErr w:type="spellStart"/>
      <w:r>
        <w:rPr>
          <w:b/>
          <w:bCs/>
        </w:rPr>
        <w:t>needback</w:t>
      </w:r>
      <w:proofErr w:type="spellEnd"/>
      <w:r>
        <w:rPr>
          <w:b/>
          <w:bCs/>
        </w:rPr>
        <w:t xml:space="preserve"> with summary</w:t>
      </w:r>
      <w:r w:rsidRPr="00594BFD">
        <w:rPr>
          <w:b/>
          <w:bCs/>
        </w:rPr>
        <w:t>.</w:t>
      </w:r>
    </w:p>
    <w:p w14:paraId="159C2DA4" w14:textId="77777777" w:rsidR="00594BFD" w:rsidRPr="00594BFD" w:rsidRDefault="00594BFD" w:rsidP="00594BFD">
      <w:pPr>
        <w:numPr>
          <w:ilvl w:val="0"/>
          <w:numId w:val="4"/>
        </w:numPr>
        <w:rPr>
          <w:b/>
          <w:bCs/>
        </w:rPr>
      </w:pPr>
      <w:r w:rsidRPr="00594BFD">
        <w:rPr>
          <w:b/>
          <w:bCs/>
        </w:rPr>
        <w:t>Resubmit the corrected claim or appeal with supporting documentation, if appropriate.</w:t>
      </w:r>
    </w:p>
    <w:p w14:paraId="238FACF2" w14:textId="77777777" w:rsidR="00594BFD" w:rsidRPr="00594BFD" w:rsidRDefault="00594BFD" w:rsidP="00594BFD">
      <w:pPr>
        <w:numPr>
          <w:ilvl w:val="0"/>
          <w:numId w:val="4"/>
        </w:numPr>
        <w:rPr>
          <w:b/>
          <w:bCs/>
        </w:rPr>
      </w:pPr>
      <w:r w:rsidRPr="00594BFD">
        <w:rPr>
          <w:b/>
          <w:bCs/>
        </w:rPr>
        <w:t>Document all steps taken in the patient’s account for compliance and audit purposes.</w:t>
      </w:r>
    </w:p>
    <w:p w14:paraId="5E6D3034" w14:textId="77777777" w:rsidR="007B5BBC" w:rsidRPr="00594BFD" w:rsidRDefault="007B5BBC" w:rsidP="00594BFD"/>
    <w:sectPr w:rsidR="007B5BBC" w:rsidRPr="00594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344"/>
    <w:multiLevelType w:val="multilevel"/>
    <w:tmpl w:val="3AF40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025709"/>
    <w:multiLevelType w:val="multilevel"/>
    <w:tmpl w:val="5EBE3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663E0C"/>
    <w:multiLevelType w:val="multilevel"/>
    <w:tmpl w:val="0AC46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572300"/>
    <w:multiLevelType w:val="multilevel"/>
    <w:tmpl w:val="EEA6F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1036488">
    <w:abstractNumId w:val="1"/>
  </w:num>
  <w:num w:numId="2" w16cid:durableId="1160539211">
    <w:abstractNumId w:val="2"/>
  </w:num>
  <w:num w:numId="3" w16cid:durableId="1582518224">
    <w:abstractNumId w:val="3"/>
  </w:num>
  <w:num w:numId="4" w16cid:durableId="211151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FD"/>
    <w:rsid w:val="00594BFD"/>
    <w:rsid w:val="007B5BBC"/>
    <w:rsid w:val="00B5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3792"/>
  <w15:chartTrackingRefBased/>
  <w15:docId w15:val="{68D0E550-B8D6-40FB-8F9C-748E34D7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BFD"/>
    <w:rPr>
      <w:rFonts w:eastAsiaTheme="majorEastAsia" w:cstheme="majorBidi"/>
      <w:color w:val="272727" w:themeColor="text1" w:themeTint="D8"/>
    </w:rPr>
  </w:style>
  <w:style w:type="paragraph" w:styleId="Title">
    <w:name w:val="Title"/>
    <w:basedOn w:val="Normal"/>
    <w:next w:val="Normal"/>
    <w:link w:val="TitleChar"/>
    <w:uiPriority w:val="10"/>
    <w:qFormat/>
    <w:rsid w:val="00594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BFD"/>
    <w:pPr>
      <w:spacing w:before="160"/>
      <w:jc w:val="center"/>
    </w:pPr>
    <w:rPr>
      <w:i/>
      <w:iCs/>
      <w:color w:val="404040" w:themeColor="text1" w:themeTint="BF"/>
    </w:rPr>
  </w:style>
  <w:style w:type="character" w:customStyle="1" w:styleId="QuoteChar">
    <w:name w:val="Quote Char"/>
    <w:basedOn w:val="DefaultParagraphFont"/>
    <w:link w:val="Quote"/>
    <w:uiPriority w:val="29"/>
    <w:rsid w:val="00594BFD"/>
    <w:rPr>
      <w:i/>
      <w:iCs/>
      <w:color w:val="404040" w:themeColor="text1" w:themeTint="BF"/>
    </w:rPr>
  </w:style>
  <w:style w:type="paragraph" w:styleId="ListParagraph">
    <w:name w:val="List Paragraph"/>
    <w:basedOn w:val="Normal"/>
    <w:uiPriority w:val="34"/>
    <w:qFormat/>
    <w:rsid w:val="00594BFD"/>
    <w:pPr>
      <w:ind w:left="720"/>
      <w:contextualSpacing/>
    </w:pPr>
  </w:style>
  <w:style w:type="character" w:styleId="IntenseEmphasis">
    <w:name w:val="Intense Emphasis"/>
    <w:basedOn w:val="DefaultParagraphFont"/>
    <w:uiPriority w:val="21"/>
    <w:qFormat/>
    <w:rsid w:val="00594BFD"/>
    <w:rPr>
      <w:i/>
      <w:iCs/>
      <w:color w:val="0F4761" w:themeColor="accent1" w:themeShade="BF"/>
    </w:rPr>
  </w:style>
  <w:style w:type="paragraph" w:styleId="IntenseQuote">
    <w:name w:val="Intense Quote"/>
    <w:basedOn w:val="Normal"/>
    <w:next w:val="Normal"/>
    <w:link w:val="IntenseQuoteChar"/>
    <w:uiPriority w:val="30"/>
    <w:qFormat/>
    <w:rsid w:val="00594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BFD"/>
    <w:rPr>
      <w:i/>
      <w:iCs/>
      <w:color w:val="0F4761" w:themeColor="accent1" w:themeShade="BF"/>
    </w:rPr>
  </w:style>
  <w:style w:type="character" w:styleId="IntenseReference">
    <w:name w:val="Intense Reference"/>
    <w:basedOn w:val="DefaultParagraphFont"/>
    <w:uiPriority w:val="32"/>
    <w:qFormat/>
    <w:rsid w:val="00594B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357654">
      <w:bodyDiv w:val="1"/>
      <w:marLeft w:val="0"/>
      <w:marRight w:val="0"/>
      <w:marTop w:val="0"/>
      <w:marBottom w:val="0"/>
      <w:divBdr>
        <w:top w:val="none" w:sz="0" w:space="0" w:color="auto"/>
        <w:left w:val="none" w:sz="0" w:space="0" w:color="auto"/>
        <w:bottom w:val="none" w:sz="0" w:space="0" w:color="auto"/>
        <w:right w:val="none" w:sz="0" w:space="0" w:color="auto"/>
      </w:divBdr>
    </w:div>
    <w:div w:id="1597783199">
      <w:bodyDiv w:val="1"/>
      <w:marLeft w:val="0"/>
      <w:marRight w:val="0"/>
      <w:marTop w:val="0"/>
      <w:marBottom w:val="0"/>
      <w:divBdr>
        <w:top w:val="none" w:sz="0" w:space="0" w:color="auto"/>
        <w:left w:val="none" w:sz="0" w:space="0" w:color="auto"/>
        <w:bottom w:val="none" w:sz="0" w:space="0" w:color="auto"/>
        <w:right w:val="none" w:sz="0" w:space="0" w:color="auto"/>
      </w:divBdr>
    </w:div>
    <w:div w:id="1752433250">
      <w:bodyDiv w:val="1"/>
      <w:marLeft w:val="0"/>
      <w:marRight w:val="0"/>
      <w:marTop w:val="0"/>
      <w:marBottom w:val="0"/>
      <w:divBdr>
        <w:top w:val="none" w:sz="0" w:space="0" w:color="auto"/>
        <w:left w:val="none" w:sz="0" w:space="0" w:color="auto"/>
        <w:bottom w:val="none" w:sz="0" w:space="0" w:color="auto"/>
        <w:right w:val="none" w:sz="0" w:space="0" w:color="auto"/>
      </w:divBdr>
    </w:div>
    <w:div w:id="180250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Jennifer  Patterson</cp:lastModifiedBy>
  <cp:revision>1</cp:revision>
  <dcterms:created xsi:type="dcterms:W3CDTF">2025-06-19T19:25:00Z</dcterms:created>
  <dcterms:modified xsi:type="dcterms:W3CDTF">2025-06-19T19:27:00Z</dcterms:modified>
</cp:coreProperties>
</file>