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7D3EB6D4" w:rsidP="7D3EB6D4" w:rsidRDefault="7D3EB6D4" w14:paraId="7D96174E" w14:textId="059EF381">
      <w:pPr>
        <w:spacing w:before="240" w:beforeAutospacing="off" w:after="240" w:afterAutospacing="off"/>
      </w:pPr>
      <w:r w:rsidRPr="7D3EB6D4" w:rsidR="7D3EB6D4">
        <w:rPr>
          <w:rFonts w:ascii="Aptos" w:hAnsi="Aptos" w:eastAsia="Aptos" w:cs="Aptos"/>
          <w:b w:val="1"/>
          <w:bCs w:val="1"/>
          <w:noProof w:val="0"/>
          <w:sz w:val="22"/>
          <w:szCs w:val="22"/>
          <w:lang w:val="en-US"/>
        </w:rPr>
        <w:t>CARC Code 216 – Service Not Covered Under Patient’s Current Plan or Benefit:</w:t>
      </w:r>
      <w:r>
        <w:br/>
      </w:r>
      <w:r w:rsidRPr="7D3EB6D4" w:rsidR="7D3EB6D4">
        <w:rPr>
          <w:rFonts w:ascii="Aptos" w:hAnsi="Aptos" w:eastAsia="Aptos" w:cs="Aptos"/>
          <w:noProof w:val="0"/>
          <w:sz w:val="22"/>
          <w:szCs w:val="22"/>
          <w:lang w:val="en-US"/>
        </w:rPr>
        <w:t xml:space="preserve"> This denial indicates that the service provided is not covered by the patient’s current insurance plan or the patient is not enrolled in the specific benefit segment required to cover this service. The denial may also result from findings or assessments made by an external review organization.</w:t>
      </w:r>
    </w:p>
    <w:p w:rsidR="7D3EB6D4" w:rsidP="7D3EB6D4" w:rsidRDefault="7D3EB6D4" w14:paraId="68A80516" w14:textId="7BFCF505">
      <w:pPr>
        <w:spacing w:before="240" w:beforeAutospacing="off" w:after="240" w:afterAutospacing="off"/>
      </w:pPr>
      <w:r w:rsidRPr="7D3EB6D4" w:rsidR="7D3EB6D4">
        <w:rPr>
          <w:rFonts w:ascii="Aptos" w:hAnsi="Aptos" w:eastAsia="Aptos" w:cs="Aptos"/>
          <w:b w:val="1"/>
          <w:bCs w:val="1"/>
          <w:noProof w:val="0"/>
          <w:sz w:val="22"/>
          <w:szCs w:val="22"/>
          <w:lang w:val="en-US"/>
        </w:rPr>
        <w:t>Next Steps:</w:t>
      </w:r>
      <w:r>
        <w:br/>
      </w:r>
      <w:r w:rsidRPr="7D3EB6D4" w:rsidR="7D3EB6D4">
        <w:rPr>
          <w:rFonts w:ascii="Aptos" w:hAnsi="Aptos" w:eastAsia="Aptos" w:cs="Aptos"/>
          <w:noProof w:val="0"/>
          <w:sz w:val="22"/>
          <w:szCs w:val="22"/>
          <w:lang w:val="en-US"/>
        </w:rPr>
        <w:t xml:space="preserve"> </w:t>
      </w:r>
      <w:r w:rsidRPr="7D3EB6D4" w:rsidR="7D3EB6D4">
        <w:rPr>
          <w:rFonts w:ascii="Aptos" w:hAnsi="Aptos" w:eastAsia="Aptos" w:cs="Aptos"/>
          <w:b w:val="1"/>
          <w:bCs w:val="1"/>
          <w:noProof w:val="0"/>
          <w:sz w:val="22"/>
          <w:szCs w:val="22"/>
          <w:lang w:val="en-US"/>
        </w:rPr>
        <w:t>Handling Denials for this CARC Code:</w:t>
      </w:r>
      <w:r>
        <w:br/>
      </w:r>
      <w:r w:rsidRPr="7D3EB6D4" w:rsidR="7D3EB6D4">
        <w:rPr>
          <w:rFonts w:ascii="Aptos" w:hAnsi="Aptos" w:eastAsia="Aptos" w:cs="Aptos"/>
          <w:noProof w:val="0"/>
          <w:sz w:val="22"/>
          <w:szCs w:val="22"/>
          <w:lang w:val="en-US"/>
        </w:rPr>
        <w:t xml:space="preserve"> Before proceeding, verify the patient’s coverage details and review the payer or review organization’s findings.</w:t>
      </w:r>
    </w:p>
    <w:p w:rsidR="7D3EB6D4" w:rsidP="7D3EB6D4" w:rsidRDefault="7D3EB6D4" w14:paraId="7B9D8E70" w14:textId="65538190">
      <w:pPr>
        <w:pStyle w:val="ListParagraph"/>
        <w:numPr>
          <w:ilvl w:val="0"/>
          <w:numId w:val="3"/>
        </w:numPr>
        <w:spacing w:before="240" w:beforeAutospacing="off" w:after="240" w:afterAutospacing="off"/>
        <w:rPr>
          <w:rFonts w:ascii="Aptos" w:hAnsi="Aptos" w:eastAsia="Aptos" w:cs="Aptos"/>
          <w:noProof w:val="0"/>
          <w:sz w:val="22"/>
          <w:szCs w:val="22"/>
          <w:lang w:val="en-US"/>
        </w:rPr>
      </w:pPr>
      <w:r w:rsidRPr="7D3EB6D4" w:rsidR="7D3EB6D4">
        <w:rPr>
          <w:rFonts w:ascii="Aptos" w:hAnsi="Aptos" w:eastAsia="Aptos" w:cs="Aptos"/>
          <w:b w:val="1"/>
          <w:bCs w:val="1"/>
          <w:noProof w:val="0"/>
          <w:sz w:val="22"/>
          <w:szCs w:val="22"/>
          <w:lang w:val="en-US"/>
        </w:rPr>
        <w:t>Use all available resources</w:t>
      </w:r>
      <w:r w:rsidRPr="7D3EB6D4" w:rsidR="7D3EB6D4">
        <w:rPr>
          <w:rFonts w:ascii="Aptos" w:hAnsi="Aptos" w:eastAsia="Aptos" w:cs="Aptos"/>
          <w:noProof w:val="0"/>
          <w:sz w:val="22"/>
          <w:szCs w:val="22"/>
          <w:lang w:val="en-US"/>
        </w:rPr>
        <w:t xml:space="preserve"> (Client system, Payer Portals, Payer Policies, Review Organization Reports, Client SOPs, Standing Rules, PhyTech Workflows, etc.)</w:t>
      </w:r>
    </w:p>
    <w:p w:rsidR="7D3EB6D4" w:rsidP="7D3EB6D4" w:rsidRDefault="7D3EB6D4" w14:paraId="2E8EA26E" w14:textId="51338545">
      <w:pPr>
        <w:pStyle w:val="ListParagraph"/>
        <w:numPr>
          <w:ilvl w:val="1"/>
          <w:numId w:val="3"/>
        </w:numPr>
        <w:spacing w:before="240" w:beforeAutospacing="off" w:after="240" w:afterAutospacing="off"/>
        <w:rPr>
          <w:rFonts w:ascii="Aptos" w:hAnsi="Aptos" w:eastAsia="Aptos" w:cs="Aptos"/>
          <w:noProof w:val="0"/>
          <w:sz w:val="22"/>
          <w:szCs w:val="22"/>
          <w:lang w:val="en-US"/>
        </w:rPr>
      </w:pPr>
      <w:r w:rsidRPr="7D3EB6D4" w:rsidR="7D3EB6D4">
        <w:rPr>
          <w:rFonts w:ascii="Aptos" w:hAnsi="Aptos" w:eastAsia="Aptos" w:cs="Aptos"/>
          <w:b w:val="1"/>
          <w:bCs w:val="1"/>
          <w:noProof w:val="0"/>
          <w:sz w:val="22"/>
          <w:szCs w:val="22"/>
          <w:lang w:val="en-US"/>
        </w:rPr>
        <w:t>Standing Rule Note:</w:t>
      </w:r>
      <w:r w:rsidRPr="7D3EB6D4" w:rsidR="7D3EB6D4">
        <w:rPr>
          <w:rFonts w:ascii="Aptos" w:hAnsi="Aptos" w:eastAsia="Aptos" w:cs="Aptos"/>
          <w:noProof w:val="0"/>
          <w:sz w:val="22"/>
          <w:szCs w:val="22"/>
          <w:lang w:val="en-US"/>
        </w:rPr>
        <w:t xml:space="preserve"> (Check Standing Rules and SOPs – Do NOT add to NEEDBACK if the client already has a standing rule to adjust off and/or adjust to CASH) – Apply the standing rule to your claim.</w:t>
      </w:r>
    </w:p>
    <w:p w:rsidR="7D3EB6D4" w:rsidP="7D3EB6D4" w:rsidRDefault="7D3EB6D4" w14:paraId="29E48D39" w14:textId="586E7D15">
      <w:pPr>
        <w:spacing w:before="240" w:beforeAutospacing="off" w:after="240" w:afterAutospacing="off"/>
      </w:pPr>
      <w:r w:rsidRPr="7D3EB6D4" w:rsidR="7D3EB6D4">
        <w:rPr>
          <w:rFonts w:ascii="Aptos" w:hAnsi="Aptos" w:eastAsia="Aptos" w:cs="Aptos"/>
          <w:b w:val="1"/>
          <w:bCs w:val="1"/>
          <w:noProof w:val="0"/>
          <w:sz w:val="22"/>
          <w:szCs w:val="22"/>
          <w:lang w:val="en-US"/>
        </w:rPr>
        <w:t>Next Steps:</w:t>
      </w:r>
    </w:p>
    <w:p w:rsidR="7D3EB6D4" w:rsidP="7D3EB6D4" w:rsidRDefault="7D3EB6D4" w14:paraId="09763629" w14:textId="5AA3B18D">
      <w:pPr>
        <w:pStyle w:val="ListParagraph"/>
        <w:numPr>
          <w:ilvl w:val="0"/>
          <w:numId w:val="4"/>
        </w:numPr>
        <w:spacing w:before="240" w:beforeAutospacing="off" w:after="240" w:afterAutospacing="off"/>
        <w:rPr>
          <w:rFonts w:ascii="Aptos" w:hAnsi="Aptos" w:eastAsia="Aptos" w:cs="Aptos"/>
          <w:noProof w:val="0"/>
          <w:sz w:val="22"/>
          <w:szCs w:val="22"/>
          <w:lang w:val="en-US"/>
        </w:rPr>
      </w:pPr>
      <w:r w:rsidRPr="7D3EB6D4" w:rsidR="7D3EB6D4">
        <w:rPr>
          <w:rFonts w:ascii="Aptos" w:hAnsi="Aptos" w:eastAsia="Aptos" w:cs="Aptos"/>
          <w:b w:val="1"/>
          <w:bCs w:val="1"/>
          <w:noProof w:val="0"/>
          <w:sz w:val="22"/>
          <w:szCs w:val="22"/>
          <w:lang w:val="en-US"/>
        </w:rPr>
        <w:t>Confirm the patient’s enrollment and coverage status</w:t>
      </w:r>
      <w:r w:rsidRPr="7D3EB6D4" w:rsidR="7D3EB6D4">
        <w:rPr>
          <w:rFonts w:ascii="Aptos" w:hAnsi="Aptos" w:eastAsia="Aptos" w:cs="Aptos"/>
          <w:noProof w:val="0"/>
          <w:sz w:val="22"/>
          <w:szCs w:val="22"/>
          <w:lang w:val="en-US"/>
        </w:rPr>
        <w:t xml:space="preserve"> for the billed service.</w:t>
      </w:r>
    </w:p>
    <w:p w:rsidR="7D3EB6D4" w:rsidP="7D3EB6D4" w:rsidRDefault="7D3EB6D4" w14:paraId="3288DE3A" w14:textId="322AFC8C">
      <w:pPr>
        <w:pStyle w:val="ListParagraph"/>
        <w:numPr>
          <w:ilvl w:val="0"/>
          <w:numId w:val="4"/>
        </w:numPr>
        <w:spacing w:before="240" w:beforeAutospacing="off" w:after="240" w:afterAutospacing="off"/>
        <w:rPr>
          <w:rFonts w:ascii="Aptos" w:hAnsi="Aptos" w:eastAsia="Aptos" w:cs="Aptos"/>
          <w:noProof w:val="0"/>
          <w:sz w:val="22"/>
          <w:szCs w:val="22"/>
          <w:lang w:val="en-US"/>
        </w:rPr>
      </w:pPr>
      <w:r w:rsidRPr="7D3EB6D4" w:rsidR="7D3EB6D4">
        <w:rPr>
          <w:rFonts w:ascii="Aptos" w:hAnsi="Aptos" w:eastAsia="Aptos" w:cs="Aptos"/>
          <w:b w:val="1"/>
          <w:bCs w:val="1"/>
          <w:noProof w:val="0"/>
          <w:sz w:val="22"/>
          <w:szCs w:val="22"/>
          <w:lang w:val="en-US"/>
        </w:rPr>
        <w:t>Review the external review organization’s assessment</w:t>
      </w:r>
      <w:r w:rsidRPr="7D3EB6D4" w:rsidR="7D3EB6D4">
        <w:rPr>
          <w:rFonts w:ascii="Aptos" w:hAnsi="Aptos" w:eastAsia="Aptos" w:cs="Aptos"/>
          <w:noProof w:val="0"/>
          <w:sz w:val="22"/>
          <w:szCs w:val="22"/>
          <w:lang w:val="en-US"/>
        </w:rPr>
        <w:t xml:space="preserve"> or payer’s rationale for denial.</w:t>
      </w:r>
    </w:p>
    <w:p w:rsidR="7D3EB6D4" w:rsidP="7D3EB6D4" w:rsidRDefault="7D3EB6D4" w14:paraId="63A8CD36" w14:textId="3CC75BAB">
      <w:pPr>
        <w:pStyle w:val="ListParagraph"/>
        <w:numPr>
          <w:ilvl w:val="0"/>
          <w:numId w:val="4"/>
        </w:numPr>
        <w:spacing w:before="240" w:beforeAutospacing="off" w:after="240" w:afterAutospacing="off"/>
        <w:rPr>
          <w:rFonts w:ascii="Aptos" w:hAnsi="Aptos" w:eastAsia="Aptos" w:cs="Aptos"/>
          <w:b w:val="1"/>
          <w:bCs w:val="1"/>
          <w:noProof w:val="0"/>
          <w:sz w:val="22"/>
          <w:szCs w:val="22"/>
          <w:lang w:val="en-US"/>
        </w:rPr>
      </w:pPr>
      <w:r w:rsidRPr="7D3EB6D4" w:rsidR="7D3EB6D4">
        <w:rPr>
          <w:rFonts w:ascii="Aptos" w:hAnsi="Aptos" w:eastAsia="Aptos" w:cs="Aptos"/>
          <w:b w:val="1"/>
          <w:bCs w:val="1"/>
          <w:noProof w:val="0"/>
          <w:sz w:val="22"/>
          <w:szCs w:val="22"/>
          <w:lang w:val="en-US"/>
        </w:rPr>
        <w:t>If coverage is indeed lacking:</w:t>
      </w:r>
    </w:p>
    <w:p w:rsidR="7D3EB6D4" w:rsidP="7D3EB6D4" w:rsidRDefault="7D3EB6D4" w14:paraId="77C34B87" w14:textId="392BF113">
      <w:pPr>
        <w:pStyle w:val="ListParagraph"/>
        <w:numPr>
          <w:ilvl w:val="1"/>
          <w:numId w:val="4"/>
        </w:numPr>
        <w:spacing w:before="240" w:beforeAutospacing="off" w:after="240" w:afterAutospacing="off"/>
        <w:rPr>
          <w:rFonts w:ascii="Aptos" w:hAnsi="Aptos" w:eastAsia="Aptos" w:cs="Aptos"/>
          <w:noProof w:val="0"/>
          <w:sz w:val="22"/>
          <w:szCs w:val="22"/>
          <w:lang w:val="en-US"/>
        </w:rPr>
      </w:pPr>
      <w:r w:rsidRPr="7D3EB6D4" w:rsidR="7D3EB6D4">
        <w:rPr>
          <w:rFonts w:ascii="Aptos" w:hAnsi="Aptos" w:eastAsia="Aptos" w:cs="Aptos"/>
          <w:noProof w:val="0"/>
          <w:sz w:val="22"/>
          <w:szCs w:val="22"/>
          <w:lang w:val="en-US"/>
        </w:rPr>
        <w:t>Follow client procedures for patient billing or write-off.</w:t>
      </w:r>
    </w:p>
    <w:p w:rsidR="7D3EB6D4" w:rsidP="7D3EB6D4" w:rsidRDefault="7D3EB6D4" w14:paraId="314CF6B6" w14:textId="4FD06D61">
      <w:pPr>
        <w:pStyle w:val="ListParagraph"/>
        <w:numPr>
          <w:ilvl w:val="0"/>
          <w:numId w:val="4"/>
        </w:numPr>
        <w:spacing w:before="240" w:beforeAutospacing="off" w:after="240" w:afterAutospacing="off"/>
        <w:rPr>
          <w:rFonts w:ascii="Aptos" w:hAnsi="Aptos" w:eastAsia="Aptos" w:cs="Aptos"/>
          <w:b w:val="1"/>
          <w:bCs w:val="1"/>
          <w:noProof w:val="0"/>
          <w:sz w:val="22"/>
          <w:szCs w:val="22"/>
          <w:lang w:val="en-US"/>
        </w:rPr>
      </w:pPr>
      <w:r w:rsidRPr="7D3EB6D4" w:rsidR="7D3EB6D4">
        <w:rPr>
          <w:rFonts w:ascii="Aptos" w:hAnsi="Aptos" w:eastAsia="Aptos" w:cs="Aptos"/>
          <w:b w:val="1"/>
          <w:bCs w:val="1"/>
          <w:noProof w:val="0"/>
          <w:sz w:val="22"/>
          <w:szCs w:val="22"/>
          <w:lang w:val="en-US"/>
        </w:rPr>
        <w:t>If coverage or enrollment status is incorrect:</w:t>
      </w:r>
    </w:p>
    <w:p w:rsidR="7D3EB6D4" w:rsidP="7D3EB6D4" w:rsidRDefault="7D3EB6D4" w14:paraId="7FC9A9F9" w14:textId="53BA80AB">
      <w:pPr>
        <w:pStyle w:val="ListParagraph"/>
        <w:numPr>
          <w:ilvl w:val="1"/>
          <w:numId w:val="4"/>
        </w:numPr>
        <w:spacing w:before="240" w:beforeAutospacing="off" w:after="240" w:afterAutospacing="off"/>
        <w:rPr>
          <w:rFonts w:ascii="Aptos" w:hAnsi="Aptos" w:eastAsia="Aptos" w:cs="Aptos"/>
          <w:noProof w:val="0"/>
          <w:sz w:val="22"/>
          <w:szCs w:val="22"/>
          <w:lang w:val="en-US"/>
        </w:rPr>
      </w:pPr>
      <w:r w:rsidRPr="7D3EB6D4" w:rsidR="7D3EB6D4">
        <w:rPr>
          <w:rFonts w:ascii="Aptos" w:hAnsi="Aptos" w:eastAsia="Aptos" w:cs="Aptos"/>
          <w:noProof w:val="0"/>
          <w:sz w:val="22"/>
          <w:szCs w:val="22"/>
          <w:lang w:val="en-US"/>
        </w:rPr>
        <w:t>Gather supporting documentation.</w:t>
      </w:r>
    </w:p>
    <w:p w:rsidR="7D3EB6D4" w:rsidP="7D3EB6D4" w:rsidRDefault="7D3EB6D4" w14:paraId="604E04FA" w14:textId="2BC845C6">
      <w:pPr>
        <w:pStyle w:val="ListParagraph"/>
        <w:numPr>
          <w:ilvl w:val="1"/>
          <w:numId w:val="4"/>
        </w:numPr>
        <w:spacing w:before="240" w:beforeAutospacing="off" w:after="240" w:afterAutospacing="off"/>
        <w:rPr>
          <w:rFonts w:ascii="Aptos" w:hAnsi="Aptos" w:eastAsia="Aptos" w:cs="Aptos"/>
          <w:noProof w:val="0"/>
          <w:sz w:val="22"/>
          <w:szCs w:val="22"/>
          <w:lang w:val="en-US"/>
        </w:rPr>
      </w:pPr>
      <w:r w:rsidRPr="7D3EB6D4" w:rsidR="7D3EB6D4">
        <w:rPr>
          <w:rFonts w:ascii="Aptos" w:hAnsi="Aptos" w:eastAsia="Aptos" w:cs="Aptos"/>
          <w:noProof w:val="0"/>
          <w:sz w:val="22"/>
          <w:szCs w:val="22"/>
          <w:lang w:val="en-US"/>
        </w:rPr>
        <w:t>Submit an appeal or corrected claim as appropriate.</w:t>
      </w:r>
    </w:p>
    <w:p w:rsidR="7D3EB6D4" w:rsidP="7D3EB6D4" w:rsidRDefault="7D3EB6D4" w14:paraId="2F3367B2" w14:textId="7D02A6DA">
      <w:pPr>
        <w:pStyle w:val="ListParagraph"/>
        <w:numPr>
          <w:ilvl w:val="0"/>
          <w:numId w:val="4"/>
        </w:numPr>
        <w:spacing w:before="240" w:beforeAutospacing="off" w:after="240" w:afterAutospacing="off"/>
        <w:rPr>
          <w:rFonts w:ascii="Aptos" w:hAnsi="Aptos" w:eastAsia="Aptos" w:cs="Aptos"/>
          <w:noProof w:val="0"/>
          <w:sz w:val="22"/>
          <w:szCs w:val="22"/>
          <w:lang w:val="en-US"/>
        </w:rPr>
      </w:pPr>
      <w:r w:rsidRPr="7D3EB6D4" w:rsidR="7D3EB6D4">
        <w:rPr>
          <w:rFonts w:ascii="Aptos" w:hAnsi="Aptos" w:eastAsia="Aptos" w:cs="Aptos"/>
          <w:b w:val="1"/>
          <w:bCs w:val="1"/>
          <w:noProof w:val="0"/>
          <w:sz w:val="22"/>
          <w:szCs w:val="22"/>
          <w:lang w:val="en-US"/>
        </w:rPr>
        <w:t>Document all findings and communications</w:t>
      </w:r>
      <w:r w:rsidRPr="7D3EB6D4" w:rsidR="7D3EB6D4">
        <w:rPr>
          <w:rFonts w:ascii="Aptos" w:hAnsi="Aptos" w:eastAsia="Aptos" w:cs="Aptos"/>
          <w:noProof w:val="0"/>
          <w:sz w:val="22"/>
          <w:szCs w:val="22"/>
          <w:lang w:val="en-US"/>
        </w:rPr>
        <w:t xml:space="preserve"> in the patient account for auditing and future reference.</w:t>
      </w:r>
    </w:p>
    <w:p w:rsidR="7D3EB6D4" w:rsidRDefault="7D3EB6D4" w14:paraId="41A1B576" w14:textId="51F2D7F3"/>
    <w:sectPr w:rsidR="007B5BBC">
      <w:pgSz w:w="12240" w:h="15840" w:orient="portrait"/>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xmlns:w="http://schemas.openxmlformats.org/wordprocessingml/2006/main" w:abstractNumId="3">
    <w:nsid w:val="68e5950c"/>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2">
    <w:nsid w:val="5fb5dd6a"/>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w:abstractNumId="0" w15:restartNumberingAfterBreak="0">
    <w:nsid w:val="13F83DB5"/>
    <w:multiLevelType w:val="multilevel"/>
    <w:tmpl w:val="0EF65DD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hint="default" w:ascii="Courier New" w:hAnsi="Courier New"/>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61861ED7"/>
    <w:multiLevelType w:val="multilevel"/>
    <w:tmpl w:val="B388D46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hint="default" w:ascii="Courier New" w:hAnsi="Courier New"/>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4">
    <w:abstractNumId w:val="3"/>
  </w:num>
  <w:num w:numId="3">
    <w:abstractNumId w:val="2"/>
  </w:num>
  <w:num w:numId="1" w16cid:durableId="1231844383">
    <w:abstractNumId w:val="1"/>
  </w:num>
  <w:num w:numId="2" w16cid:durableId="1617902671">
    <w:abstractNumId w:val="0"/>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14">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5DC5"/>
    <w:rsid w:val="007B5BBC"/>
    <w:rsid w:val="00A85DC5"/>
    <w:rsid w:val="00B56021"/>
    <w:rsid w:val="7D3EB6D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03D657"/>
  <w15:chartTrackingRefBased/>
  <w15:docId w15:val="{EB47D006-AFFD-48BC-A807-8291B5651850}"/>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p14">
  <w:docDefaults>
    <w:rPrDefault>
      <w:rPr>
        <w:rFonts w:asciiTheme="minorHAnsi" w:hAnsiTheme="minorHAnsi" w:eastAsia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paragraph" w:styleId="Heading1">
    <w:name w:val="heading 1"/>
    <w:basedOn w:val="Normal"/>
    <w:next w:val="Normal"/>
    <w:link w:val="Heading1Char"/>
    <w:uiPriority w:val="9"/>
    <w:qFormat/>
    <w:rsid w:val="00A85DC5"/>
    <w:pPr>
      <w:keepNext/>
      <w:keepLines/>
      <w:spacing w:before="360" w:after="80"/>
      <w:outlineLvl w:val="0"/>
    </w:pPr>
    <w:rPr>
      <w:rFonts w:asciiTheme="majorHAnsi" w:hAnsiTheme="majorHAnsi" w:eastAsiaTheme="majorEastAsia"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85DC5"/>
    <w:pPr>
      <w:keepNext/>
      <w:keepLines/>
      <w:spacing w:before="160" w:after="80"/>
      <w:outlineLvl w:val="1"/>
    </w:pPr>
    <w:rPr>
      <w:rFonts w:asciiTheme="majorHAnsi" w:hAnsiTheme="majorHAnsi" w:eastAsiaTheme="majorEastAsia"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85DC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85DC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85DC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85DC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85DC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85DC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85DC5"/>
    <w:pPr>
      <w:keepNext/>
      <w:keepLines/>
      <w:spacing w:after="0"/>
      <w:outlineLvl w:val="8"/>
    </w:pPr>
    <w:rPr>
      <w:rFonts w:eastAsiaTheme="majorEastAsia" w:cstheme="majorBidi"/>
      <w:color w:val="272727" w:themeColor="text1" w:themeTint="D8"/>
    </w:rPr>
  </w:style>
  <w:style w:type="character" w:styleId="DefaultParagraphFont" w:default="1">
    <w:name w:val="Default Paragraph Font"/>
    <w:uiPriority w:val="1"/>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sid w:val="00A85DC5"/>
    <w:rPr>
      <w:rFonts w:asciiTheme="majorHAnsi" w:hAnsiTheme="majorHAnsi" w:eastAsiaTheme="majorEastAsia" w:cstheme="majorBidi"/>
      <w:color w:val="0F4761" w:themeColor="accent1" w:themeShade="BF"/>
      <w:sz w:val="40"/>
      <w:szCs w:val="40"/>
    </w:rPr>
  </w:style>
  <w:style w:type="character" w:styleId="Heading2Char" w:customStyle="1">
    <w:name w:val="Heading 2 Char"/>
    <w:basedOn w:val="DefaultParagraphFont"/>
    <w:link w:val="Heading2"/>
    <w:uiPriority w:val="9"/>
    <w:semiHidden/>
    <w:rsid w:val="00A85DC5"/>
    <w:rPr>
      <w:rFonts w:asciiTheme="majorHAnsi" w:hAnsiTheme="majorHAnsi" w:eastAsiaTheme="majorEastAsia" w:cstheme="majorBidi"/>
      <w:color w:val="0F4761" w:themeColor="accent1" w:themeShade="BF"/>
      <w:sz w:val="32"/>
      <w:szCs w:val="32"/>
    </w:rPr>
  </w:style>
  <w:style w:type="character" w:styleId="Heading3Char" w:customStyle="1">
    <w:name w:val="Heading 3 Char"/>
    <w:basedOn w:val="DefaultParagraphFont"/>
    <w:link w:val="Heading3"/>
    <w:uiPriority w:val="9"/>
    <w:semiHidden/>
    <w:rsid w:val="00A85DC5"/>
    <w:rPr>
      <w:rFonts w:eastAsiaTheme="majorEastAsia" w:cstheme="majorBidi"/>
      <w:color w:val="0F4761" w:themeColor="accent1" w:themeShade="BF"/>
      <w:sz w:val="28"/>
      <w:szCs w:val="28"/>
    </w:rPr>
  </w:style>
  <w:style w:type="character" w:styleId="Heading4Char" w:customStyle="1">
    <w:name w:val="Heading 4 Char"/>
    <w:basedOn w:val="DefaultParagraphFont"/>
    <w:link w:val="Heading4"/>
    <w:uiPriority w:val="9"/>
    <w:semiHidden/>
    <w:rsid w:val="00A85DC5"/>
    <w:rPr>
      <w:rFonts w:eastAsiaTheme="majorEastAsia" w:cstheme="majorBidi"/>
      <w:i/>
      <w:iCs/>
      <w:color w:val="0F4761" w:themeColor="accent1" w:themeShade="BF"/>
    </w:rPr>
  </w:style>
  <w:style w:type="character" w:styleId="Heading5Char" w:customStyle="1">
    <w:name w:val="Heading 5 Char"/>
    <w:basedOn w:val="DefaultParagraphFont"/>
    <w:link w:val="Heading5"/>
    <w:uiPriority w:val="9"/>
    <w:semiHidden/>
    <w:rsid w:val="00A85DC5"/>
    <w:rPr>
      <w:rFonts w:eastAsiaTheme="majorEastAsia" w:cstheme="majorBidi"/>
      <w:color w:val="0F4761" w:themeColor="accent1" w:themeShade="BF"/>
    </w:rPr>
  </w:style>
  <w:style w:type="character" w:styleId="Heading6Char" w:customStyle="1">
    <w:name w:val="Heading 6 Char"/>
    <w:basedOn w:val="DefaultParagraphFont"/>
    <w:link w:val="Heading6"/>
    <w:uiPriority w:val="9"/>
    <w:semiHidden/>
    <w:rsid w:val="00A85DC5"/>
    <w:rPr>
      <w:rFonts w:eastAsiaTheme="majorEastAsia" w:cstheme="majorBidi"/>
      <w:i/>
      <w:iCs/>
      <w:color w:val="595959" w:themeColor="text1" w:themeTint="A6"/>
    </w:rPr>
  </w:style>
  <w:style w:type="character" w:styleId="Heading7Char" w:customStyle="1">
    <w:name w:val="Heading 7 Char"/>
    <w:basedOn w:val="DefaultParagraphFont"/>
    <w:link w:val="Heading7"/>
    <w:uiPriority w:val="9"/>
    <w:semiHidden/>
    <w:rsid w:val="00A85DC5"/>
    <w:rPr>
      <w:rFonts w:eastAsiaTheme="majorEastAsia" w:cstheme="majorBidi"/>
      <w:color w:val="595959" w:themeColor="text1" w:themeTint="A6"/>
    </w:rPr>
  </w:style>
  <w:style w:type="character" w:styleId="Heading8Char" w:customStyle="1">
    <w:name w:val="Heading 8 Char"/>
    <w:basedOn w:val="DefaultParagraphFont"/>
    <w:link w:val="Heading8"/>
    <w:uiPriority w:val="9"/>
    <w:semiHidden/>
    <w:rsid w:val="00A85DC5"/>
    <w:rPr>
      <w:rFonts w:eastAsiaTheme="majorEastAsia" w:cstheme="majorBidi"/>
      <w:i/>
      <w:iCs/>
      <w:color w:val="272727" w:themeColor="text1" w:themeTint="D8"/>
    </w:rPr>
  </w:style>
  <w:style w:type="character" w:styleId="Heading9Char" w:customStyle="1">
    <w:name w:val="Heading 9 Char"/>
    <w:basedOn w:val="DefaultParagraphFont"/>
    <w:link w:val="Heading9"/>
    <w:uiPriority w:val="9"/>
    <w:semiHidden/>
    <w:rsid w:val="00A85DC5"/>
    <w:rPr>
      <w:rFonts w:eastAsiaTheme="majorEastAsia" w:cstheme="majorBidi"/>
      <w:color w:val="272727" w:themeColor="text1" w:themeTint="D8"/>
    </w:rPr>
  </w:style>
  <w:style w:type="paragraph" w:styleId="Title">
    <w:name w:val="Title"/>
    <w:basedOn w:val="Normal"/>
    <w:next w:val="Normal"/>
    <w:link w:val="TitleChar"/>
    <w:uiPriority w:val="10"/>
    <w:qFormat/>
    <w:rsid w:val="00A85DC5"/>
    <w:pPr>
      <w:spacing w:after="80" w:line="240" w:lineRule="auto"/>
      <w:contextualSpacing/>
    </w:pPr>
    <w:rPr>
      <w:rFonts w:asciiTheme="majorHAnsi" w:hAnsiTheme="majorHAnsi" w:eastAsiaTheme="majorEastAsia" w:cstheme="majorBidi"/>
      <w:spacing w:val="-10"/>
      <w:kern w:val="28"/>
      <w:sz w:val="56"/>
      <w:szCs w:val="56"/>
    </w:rPr>
  </w:style>
  <w:style w:type="character" w:styleId="TitleChar" w:customStyle="1">
    <w:name w:val="Title Char"/>
    <w:basedOn w:val="DefaultParagraphFont"/>
    <w:link w:val="Title"/>
    <w:uiPriority w:val="10"/>
    <w:rsid w:val="00A85DC5"/>
    <w:rPr>
      <w:rFonts w:asciiTheme="majorHAnsi" w:hAnsiTheme="majorHAnsi" w:eastAsiaTheme="majorEastAsia" w:cstheme="majorBidi"/>
      <w:spacing w:val="-10"/>
      <w:kern w:val="28"/>
      <w:sz w:val="56"/>
      <w:szCs w:val="56"/>
    </w:rPr>
  </w:style>
  <w:style w:type="paragraph" w:styleId="Subtitle">
    <w:name w:val="Subtitle"/>
    <w:basedOn w:val="Normal"/>
    <w:next w:val="Normal"/>
    <w:link w:val="SubtitleChar"/>
    <w:uiPriority w:val="11"/>
    <w:qFormat/>
    <w:rsid w:val="00A85DC5"/>
    <w:pPr>
      <w:numPr>
        <w:ilvl w:val="1"/>
      </w:numPr>
    </w:pPr>
    <w:rPr>
      <w:rFonts w:eastAsiaTheme="majorEastAsia" w:cstheme="majorBidi"/>
      <w:color w:val="595959" w:themeColor="text1" w:themeTint="A6"/>
      <w:spacing w:val="15"/>
      <w:sz w:val="28"/>
      <w:szCs w:val="28"/>
    </w:rPr>
  </w:style>
  <w:style w:type="character" w:styleId="SubtitleChar" w:customStyle="1">
    <w:name w:val="Subtitle Char"/>
    <w:basedOn w:val="DefaultParagraphFont"/>
    <w:link w:val="Subtitle"/>
    <w:uiPriority w:val="11"/>
    <w:rsid w:val="00A85DC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85DC5"/>
    <w:pPr>
      <w:spacing w:before="160"/>
      <w:jc w:val="center"/>
    </w:pPr>
    <w:rPr>
      <w:i/>
      <w:iCs/>
      <w:color w:val="404040" w:themeColor="text1" w:themeTint="BF"/>
    </w:rPr>
  </w:style>
  <w:style w:type="character" w:styleId="QuoteChar" w:customStyle="1">
    <w:name w:val="Quote Char"/>
    <w:basedOn w:val="DefaultParagraphFont"/>
    <w:link w:val="Quote"/>
    <w:uiPriority w:val="29"/>
    <w:rsid w:val="00A85DC5"/>
    <w:rPr>
      <w:i/>
      <w:iCs/>
      <w:color w:val="404040" w:themeColor="text1" w:themeTint="BF"/>
    </w:rPr>
  </w:style>
  <w:style w:type="paragraph" w:styleId="ListParagraph">
    <w:name w:val="List Paragraph"/>
    <w:basedOn w:val="Normal"/>
    <w:uiPriority w:val="34"/>
    <w:qFormat/>
    <w:rsid w:val="00A85DC5"/>
    <w:pPr>
      <w:ind w:left="720"/>
      <w:contextualSpacing/>
    </w:pPr>
  </w:style>
  <w:style w:type="character" w:styleId="IntenseEmphasis">
    <w:name w:val="Intense Emphasis"/>
    <w:basedOn w:val="DefaultParagraphFont"/>
    <w:uiPriority w:val="21"/>
    <w:qFormat/>
    <w:rsid w:val="00A85DC5"/>
    <w:rPr>
      <w:i/>
      <w:iCs/>
      <w:color w:val="0F4761" w:themeColor="accent1" w:themeShade="BF"/>
    </w:rPr>
  </w:style>
  <w:style w:type="paragraph" w:styleId="IntenseQuote">
    <w:name w:val="Intense Quote"/>
    <w:basedOn w:val="Normal"/>
    <w:next w:val="Normal"/>
    <w:link w:val="IntenseQuoteChar"/>
    <w:uiPriority w:val="30"/>
    <w:qFormat/>
    <w:rsid w:val="00A85DC5"/>
    <w:pPr>
      <w:pBdr>
        <w:top w:val="single" w:color="0F4761" w:themeColor="accent1" w:themeShade="BF" w:sz="4" w:space="10"/>
        <w:bottom w:val="single" w:color="0F4761" w:themeColor="accent1" w:themeShade="BF" w:sz="4" w:space="10"/>
      </w:pBdr>
      <w:spacing w:before="360" w:after="360"/>
      <w:ind w:left="864" w:right="864"/>
      <w:jc w:val="center"/>
    </w:pPr>
    <w:rPr>
      <w:i/>
      <w:iCs/>
      <w:color w:val="0F4761" w:themeColor="accent1" w:themeShade="BF"/>
    </w:rPr>
  </w:style>
  <w:style w:type="character" w:styleId="IntenseQuoteChar" w:customStyle="1">
    <w:name w:val="Intense Quote Char"/>
    <w:basedOn w:val="DefaultParagraphFont"/>
    <w:link w:val="IntenseQuote"/>
    <w:uiPriority w:val="30"/>
    <w:rsid w:val="00A85DC5"/>
    <w:rPr>
      <w:i/>
      <w:iCs/>
      <w:color w:val="0F4761" w:themeColor="accent1" w:themeShade="BF"/>
    </w:rPr>
  </w:style>
  <w:style w:type="character" w:styleId="IntenseReference">
    <w:name w:val="Intense Reference"/>
    <w:basedOn w:val="DefaultParagraphFont"/>
    <w:uiPriority w:val="32"/>
    <w:qFormat/>
    <w:rsid w:val="00A85DC5"/>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1222805">
      <w:bodyDiv w:val="1"/>
      <w:marLeft w:val="0"/>
      <w:marRight w:val="0"/>
      <w:marTop w:val="0"/>
      <w:marBottom w:val="0"/>
      <w:divBdr>
        <w:top w:val="none" w:sz="0" w:space="0" w:color="auto"/>
        <w:left w:val="none" w:sz="0" w:space="0" w:color="auto"/>
        <w:bottom w:val="none" w:sz="0" w:space="0" w:color="auto"/>
        <w:right w:val="none" w:sz="0" w:space="0" w:color="auto"/>
      </w:divBdr>
    </w:div>
    <w:div w:id="16445025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webSettings" Target="webSettings.xml" Id="rId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Jennifer  Patterson</dc:creator>
  <keywords/>
  <dc:description/>
  <lastModifiedBy>JENNIFER PATTERSON</lastModifiedBy>
  <revision>2</revision>
  <dcterms:created xsi:type="dcterms:W3CDTF">2025-06-19T19:34:00.0000000Z</dcterms:created>
  <dcterms:modified xsi:type="dcterms:W3CDTF">2025-06-19T19:55:59.6995346Z</dcterms:modified>
</coreProperties>
</file>