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D7E27CD" w:rsidP="6D7E27CD" w:rsidRDefault="6D7E27CD" w14:paraId="3E292927" w14:textId="5C76601E">
      <w:pPr>
        <w:spacing w:before="240" w:beforeAutospacing="off" w:after="240" w:afterAutospacing="off"/>
      </w:pPr>
      <w:r w:rsidRPr="6D7E27CD" w:rsidR="6D7E27CD">
        <w:rPr>
          <w:rFonts w:ascii="Aptos" w:hAnsi="Aptos" w:eastAsia="Aptos" w:cs="Aptos"/>
          <w:b w:val="1"/>
          <w:bCs w:val="1"/>
          <w:noProof w:val="0"/>
          <w:sz w:val="22"/>
          <w:szCs w:val="22"/>
          <w:lang w:val="en-US"/>
        </w:rPr>
        <w:t>CARC Code B12 – Services Not Documented in the Patient’s Medical Records:</w:t>
      </w:r>
      <w:r>
        <w:br/>
      </w:r>
      <w:r w:rsidRPr="6D7E27CD" w:rsidR="6D7E27CD">
        <w:rPr>
          <w:rFonts w:ascii="Aptos" w:hAnsi="Aptos" w:eastAsia="Aptos" w:cs="Aptos"/>
          <w:noProof w:val="0"/>
          <w:sz w:val="22"/>
          <w:szCs w:val="22"/>
          <w:lang w:val="en-US"/>
        </w:rPr>
        <w:t xml:space="preserve"> This denial indicates that the billed services are not supported by the documentation in the patient’s medical records. The payer requires sufficient clinical evidence to justify the medical necessity and performance of the services rendered.</w:t>
      </w:r>
    </w:p>
    <w:p w:rsidR="6D7E27CD" w:rsidP="6D7E27CD" w:rsidRDefault="6D7E27CD" w14:paraId="2B45709F" w14:textId="5B00811B">
      <w:pPr>
        <w:spacing w:before="240" w:beforeAutospacing="off" w:after="240" w:afterAutospacing="off"/>
      </w:pPr>
      <w:r w:rsidRPr="6D7E27CD" w:rsidR="6D7E27CD">
        <w:rPr>
          <w:rFonts w:ascii="Aptos" w:hAnsi="Aptos" w:eastAsia="Aptos" w:cs="Aptos"/>
          <w:b w:val="1"/>
          <w:bCs w:val="1"/>
          <w:noProof w:val="0"/>
          <w:sz w:val="22"/>
          <w:szCs w:val="22"/>
          <w:lang w:val="en-US"/>
        </w:rPr>
        <w:t>Next Steps:</w:t>
      </w:r>
      <w:r>
        <w:br/>
      </w:r>
      <w:r w:rsidRPr="6D7E27CD" w:rsidR="6D7E27CD">
        <w:rPr>
          <w:rFonts w:ascii="Aptos" w:hAnsi="Aptos" w:eastAsia="Aptos" w:cs="Aptos"/>
          <w:noProof w:val="0"/>
          <w:sz w:val="22"/>
          <w:szCs w:val="22"/>
          <w:lang w:val="en-US"/>
        </w:rPr>
        <w:t xml:space="preserve"> </w:t>
      </w:r>
      <w:r w:rsidRPr="6D7E27CD" w:rsidR="6D7E27CD">
        <w:rPr>
          <w:rFonts w:ascii="Aptos" w:hAnsi="Aptos" w:eastAsia="Aptos" w:cs="Aptos"/>
          <w:b w:val="1"/>
          <w:bCs w:val="1"/>
          <w:noProof w:val="0"/>
          <w:sz w:val="22"/>
          <w:szCs w:val="22"/>
          <w:lang w:val="en-US"/>
        </w:rPr>
        <w:t>Handling Denials for this CARC Code:</w:t>
      </w:r>
      <w:r>
        <w:br/>
      </w:r>
      <w:r w:rsidRPr="6D7E27CD" w:rsidR="6D7E27CD">
        <w:rPr>
          <w:rFonts w:ascii="Aptos" w:hAnsi="Aptos" w:eastAsia="Aptos" w:cs="Aptos"/>
          <w:noProof w:val="0"/>
          <w:sz w:val="22"/>
          <w:szCs w:val="22"/>
          <w:lang w:val="en-US"/>
        </w:rPr>
        <w:t xml:space="preserve"> Before continuing workflow, review the medical records to confirm whether appropriate documentation exists and supports the billed services.</w:t>
      </w:r>
    </w:p>
    <w:p w:rsidR="6D7E27CD" w:rsidP="6D7E27CD" w:rsidRDefault="6D7E27CD" w14:paraId="349DFD0E" w14:textId="41F720F9">
      <w:pPr>
        <w:pStyle w:val="ListParagraph"/>
        <w:numPr>
          <w:ilvl w:val="0"/>
          <w:numId w:val="3"/>
        </w:numPr>
        <w:spacing w:before="240" w:beforeAutospacing="off" w:after="240" w:afterAutospacing="off"/>
        <w:rPr>
          <w:rFonts w:ascii="Aptos" w:hAnsi="Aptos" w:eastAsia="Aptos" w:cs="Aptos"/>
          <w:noProof w:val="0"/>
          <w:sz w:val="22"/>
          <w:szCs w:val="22"/>
          <w:lang w:val="en-US"/>
        </w:rPr>
      </w:pPr>
      <w:r w:rsidRPr="6D7E27CD" w:rsidR="6D7E27CD">
        <w:rPr>
          <w:rFonts w:ascii="Aptos" w:hAnsi="Aptos" w:eastAsia="Aptos" w:cs="Aptos"/>
          <w:b w:val="1"/>
          <w:bCs w:val="1"/>
          <w:noProof w:val="0"/>
          <w:sz w:val="22"/>
          <w:szCs w:val="22"/>
          <w:lang w:val="en-US"/>
        </w:rPr>
        <w:t>Use all available resources</w:t>
      </w:r>
      <w:r w:rsidRPr="6D7E27CD" w:rsidR="6D7E27CD">
        <w:rPr>
          <w:rFonts w:ascii="Aptos" w:hAnsi="Aptos" w:eastAsia="Aptos" w:cs="Aptos"/>
          <w:noProof w:val="0"/>
          <w:sz w:val="22"/>
          <w:szCs w:val="22"/>
          <w:lang w:val="en-US"/>
        </w:rPr>
        <w:t xml:space="preserve"> (Client system, Provider Documentation, Payer Portals, Payer Policies, Client SOPs, Standing Rules, PhyTech Workflows, etc.)</w:t>
      </w:r>
    </w:p>
    <w:p w:rsidR="6D7E27CD" w:rsidP="6D7E27CD" w:rsidRDefault="6D7E27CD" w14:paraId="0839FA57" w14:textId="6EFA6FED">
      <w:pPr>
        <w:pStyle w:val="ListParagraph"/>
        <w:numPr>
          <w:ilvl w:val="1"/>
          <w:numId w:val="3"/>
        </w:numPr>
        <w:spacing w:before="240" w:beforeAutospacing="off" w:after="240" w:afterAutospacing="off"/>
        <w:rPr>
          <w:rFonts w:ascii="Aptos" w:hAnsi="Aptos" w:eastAsia="Aptos" w:cs="Aptos"/>
          <w:noProof w:val="0"/>
          <w:sz w:val="22"/>
          <w:szCs w:val="22"/>
          <w:lang w:val="en-US"/>
        </w:rPr>
      </w:pPr>
      <w:r w:rsidRPr="6D7E27CD" w:rsidR="6D7E27CD">
        <w:rPr>
          <w:rFonts w:ascii="Aptos" w:hAnsi="Aptos" w:eastAsia="Aptos" w:cs="Aptos"/>
          <w:b w:val="1"/>
          <w:bCs w:val="1"/>
          <w:noProof w:val="0"/>
          <w:sz w:val="22"/>
          <w:szCs w:val="22"/>
          <w:lang w:val="en-US"/>
        </w:rPr>
        <w:t>Standing Rule Note:</w:t>
      </w:r>
      <w:r w:rsidRPr="6D7E27CD" w:rsidR="6D7E27CD">
        <w:rPr>
          <w:rFonts w:ascii="Aptos" w:hAnsi="Aptos" w:eastAsia="Aptos" w:cs="Aptos"/>
          <w:noProof w:val="0"/>
          <w:sz w:val="22"/>
          <w:szCs w:val="22"/>
          <w:lang w:val="en-US"/>
        </w:rPr>
        <w:t xml:space="preserve"> (Check Standing Rules and SOPs – Do NOT add to NEEDBACK if the client already has a standing rule to adjust off and/or adjust to CASH) – Apply the standing rule to your claim.</w:t>
      </w:r>
    </w:p>
    <w:p w:rsidR="6D7E27CD" w:rsidP="6D7E27CD" w:rsidRDefault="6D7E27CD" w14:paraId="471485D8" w14:textId="0C3E1436">
      <w:pPr>
        <w:spacing w:before="240" w:beforeAutospacing="off" w:after="240" w:afterAutospacing="off"/>
      </w:pPr>
      <w:r w:rsidRPr="6D7E27CD" w:rsidR="6D7E27CD">
        <w:rPr>
          <w:rFonts w:ascii="Aptos" w:hAnsi="Aptos" w:eastAsia="Aptos" w:cs="Aptos"/>
          <w:b w:val="1"/>
          <w:bCs w:val="1"/>
          <w:noProof w:val="0"/>
          <w:sz w:val="22"/>
          <w:szCs w:val="22"/>
          <w:lang w:val="en-US"/>
        </w:rPr>
        <w:t>Next Steps:</w:t>
      </w:r>
    </w:p>
    <w:p w:rsidR="6D7E27CD" w:rsidP="6D7E27CD" w:rsidRDefault="6D7E27CD" w14:paraId="0D2344FD" w14:textId="6476BB23">
      <w:pPr>
        <w:pStyle w:val="ListParagraph"/>
        <w:numPr>
          <w:ilvl w:val="0"/>
          <w:numId w:val="4"/>
        </w:numPr>
        <w:spacing w:before="240" w:beforeAutospacing="off" w:after="240" w:afterAutospacing="off"/>
        <w:rPr>
          <w:rFonts w:ascii="Aptos" w:hAnsi="Aptos" w:eastAsia="Aptos" w:cs="Aptos"/>
          <w:noProof w:val="0"/>
          <w:sz w:val="22"/>
          <w:szCs w:val="22"/>
          <w:lang w:val="en-US"/>
        </w:rPr>
      </w:pPr>
      <w:r w:rsidRPr="6D7E27CD" w:rsidR="6D7E27CD">
        <w:rPr>
          <w:rFonts w:ascii="Aptos" w:hAnsi="Aptos" w:eastAsia="Aptos" w:cs="Aptos"/>
          <w:b w:val="1"/>
          <w:bCs w:val="1"/>
          <w:noProof w:val="0"/>
          <w:sz w:val="22"/>
          <w:szCs w:val="22"/>
          <w:lang w:val="en-US"/>
        </w:rPr>
        <w:t>Review the patient's medical record</w:t>
      </w:r>
      <w:r w:rsidRPr="6D7E27CD" w:rsidR="6D7E27CD">
        <w:rPr>
          <w:rFonts w:ascii="Aptos" w:hAnsi="Aptos" w:eastAsia="Aptos" w:cs="Aptos"/>
          <w:noProof w:val="0"/>
          <w:sz w:val="22"/>
          <w:szCs w:val="22"/>
          <w:lang w:val="en-US"/>
        </w:rPr>
        <w:t xml:space="preserve"> to verify that documentation supports the services billed (e.g., notes, test results, progress reports).</w:t>
      </w:r>
    </w:p>
    <w:p w:rsidR="6D7E27CD" w:rsidP="6D7E27CD" w:rsidRDefault="6D7E27CD" w14:paraId="1A32C290" w14:textId="6883CA5A">
      <w:pPr>
        <w:pStyle w:val="ListParagraph"/>
        <w:numPr>
          <w:ilvl w:val="0"/>
          <w:numId w:val="4"/>
        </w:numPr>
        <w:spacing w:before="240" w:beforeAutospacing="off" w:after="240" w:afterAutospacing="off"/>
        <w:rPr>
          <w:rFonts w:ascii="Aptos" w:hAnsi="Aptos" w:eastAsia="Aptos" w:cs="Aptos"/>
          <w:b w:val="1"/>
          <w:bCs w:val="1"/>
          <w:noProof w:val="0"/>
          <w:sz w:val="22"/>
          <w:szCs w:val="22"/>
          <w:lang w:val="en-US"/>
        </w:rPr>
      </w:pPr>
      <w:r w:rsidRPr="6D7E27CD" w:rsidR="6D7E27CD">
        <w:rPr>
          <w:rFonts w:ascii="Aptos" w:hAnsi="Aptos" w:eastAsia="Aptos" w:cs="Aptos"/>
          <w:b w:val="1"/>
          <w:bCs w:val="1"/>
          <w:noProof w:val="0"/>
          <w:sz w:val="22"/>
          <w:szCs w:val="22"/>
          <w:lang w:val="en-US"/>
        </w:rPr>
        <w:t>If documentation is insufficient or missing:</w:t>
      </w:r>
    </w:p>
    <w:p w:rsidR="6D7E27CD" w:rsidP="6D7E27CD" w:rsidRDefault="6D7E27CD" w14:paraId="2D6F8826" w14:textId="5EA0B401">
      <w:pPr>
        <w:pStyle w:val="ListParagraph"/>
        <w:numPr>
          <w:ilvl w:val="1"/>
          <w:numId w:val="4"/>
        </w:numPr>
        <w:spacing w:before="240" w:beforeAutospacing="off" w:after="240" w:afterAutospacing="off"/>
        <w:rPr>
          <w:rFonts w:ascii="Aptos" w:hAnsi="Aptos" w:eastAsia="Aptos" w:cs="Aptos"/>
          <w:noProof w:val="0"/>
          <w:sz w:val="22"/>
          <w:szCs w:val="22"/>
          <w:lang w:val="en-US"/>
        </w:rPr>
      </w:pPr>
      <w:r w:rsidRPr="6D7E27CD" w:rsidR="6D7E27CD">
        <w:rPr>
          <w:rFonts w:ascii="Aptos" w:hAnsi="Aptos" w:eastAsia="Aptos" w:cs="Aptos"/>
          <w:noProof w:val="0"/>
          <w:sz w:val="22"/>
          <w:szCs w:val="22"/>
          <w:lang w:val="en-US"/>
        </w:rPr>
        <w:t>Request proper documentation from the provider.</w:t>
      </w:r>
    </w:p>
    <w:p w:rsidR="6D7E27CD" w:rsidP="6D7E27CD" w:rsidRDefault="6D7E27CD" w14:paraId="51881BF4" w14:textId="49F28EC4">
      <w:pPr>
        <w:pStyle w:val="ListParagraph"/>
        <w:numPr>
          <w:ilvl w:val="1"/>
          <w:numId w:val="4"/>
        </w:numPr>
        <w:spacing w:before="240" w:beforeAutospacing="off" w:after="240" w:afterAutospacing="off"/>
        <w:rPr>
          <w:rFonts w:ascii="Aptos" w:hAnsi="Aptos" w:eastAsia="Aptos" w:cs="Aptos"/>
          <w:noProof w:val="0"/>
          <w:sz w:val="22"/>
          <w:szCs w:val="22"/>
          <w:lang w:val="en-US"/>
        </w:rPr>
      </w:pPr>
      <w:r w:rsidRPr="6D7E27CD" w:rsidR="6D7E27CD">
        <w:rPr>
          <w:rFonts w:ascii="Aptos" w:hAnsi="Aptos" w:eastAsia="Aptos" w:cs="Aptos"/>
          <w:noProof w:val="0"/>
          <w:sz w:val="22"/>
          <w:szCs w:val="22"/>
          <w:lang w:val="en-US"/>
        </w:rPr>
        <w:t>If unable to obtain it, follow client policy for adjustment or write-off.</w:t>
      </w:r>
    </w:p>
    <w:p w:rsidR="6D7E27CD" w:rsidP="6D7E27CD" w:rsidRDefault="6D7E27CD" w14:paraId="5593C8C8" w14:textId="6AADC0D5">
      <w:pPr>
        <w:pStyle w:val="ListParagraph"/>
        <w:numPr>
          <w:ilvl w:val="0"/>
          <w:numId w:val="4"/>
        </w:numPr>
        <w:spacing w:before="240" w:beforeAutospacing="off" w:after="240" w:afterAutospacing="off"/>
        <w:rPr>
          <w:rFonts w:ascii="Aptos" w:hAnsi="Aptos" w:eastAsia="Aptos" w:cs="Aptos"/>
          <w:b w:val="1"/>
          <w:bCs w:val="1"/>
          <w:noProof w:val="0"/>
          <w:sz w:val="22"/>
          <w:szCs w:val="22"/>
          <w:lang w:val="en-US"/>
        </w:rPr>
      </w:pPr>
      <w:r w:rsidRPr="6D7E27CD" w:rsidR="6D7E27CD">
        <w:rPr>
          <w:rFonts w:ascii="Aptos" w:hAnsi="Aptos" w:eastAsia="Aptos" w:cs="Aptos"/>
          <w:b w:val="1"/>
          <w:bCs w:val="1"/>
          <w:noProof w:val="0"/>
          <w:sz w:val="22"/>
          <w:szCs w:val="22"/>
          <w:lang w:val="en-US"/>
        </w:rPr>
        <w:t>If documentation is adequate but not submitted:</w:t>
      </w:r>
    </w:p>
    <w:p w:rsidR="6D7E27CD" w:rsidP="6D7E27CD" w:rsidRDefault="6D7E27CD" w14:paraId="1332E8CA" w14:textId="76C8A0BC">
      <w:pPr>
        <w:pStyle w:val="ListParagraph"/>
        <w:numPr>
          <w:ilvl w:val="1"/>
          <w:numId w:val="4"/>
        </w:numPr>
        <w:spacing w:before="240" w:beforeAutospacing="off" w:after="240" w:afterAutospacing="off"/>
        <w:rPr>
          <w:rFonts w:ascii="Aptos" w:hAnsi="Aptos" w:eastAsia="Aptos" w:cs="Aptos"/>
          <w:noProof w:val="0"/>
          <w:sz w:val="22"/>
          <w:szCs w:val="22"/>
          <w:lang w:val="en-US"/>
        </w:rPr>
      </w:pPr>
      <w:r w:rsidRPr="6D7E27CD" w:rsidR="6D7E27CD">
        <w:rPr>
          <w:rFonts w:ascii="Aptos" w:hAnsi="Aptos" w:eastAsia="Aptos" w:cs="Aptos"/>
          <w:noProof w:val="0"/>
          <w:sz w:val="22"/>
          <w:szCs w:val="22"/>
          <w:lang w:val="en-US"/>
        </w:rPr>
        <w:t>Gather records and submit an appeal with supporting clinical evidence.</w:t>
      </w:r>
    </w:p>
    <w:p w:rsidR="6D7E27CD" w:rsidP="6D7E27CD" w:rsidRDefault="6D7E27CD" w14:paraId="439B1ACE" w14:textId="02106B31">
      <w:pPr>
        <w:pStyle w:val="ListParagraph"/>
        <w:numPr>
          <w:ilvl w:val="0"/>
          <w:numId w:val="4"/>
        </w:numPr>
        <w:spacing w:before="240" w:beforeAutospacing="off" w:after="240" w:afterAutospacing="off"/>
        <w:rPr>
          <w:rFonts w:ascii="Aptos" w:hAnsi="Aptos" w:eastAsia="Aptos" w:cs="Aptos"/>
          <w:noProof w:val="0"/>
          <w:sz w:val="22"/>
          <w:szCs w:val="22"/>
          <w:lang w:val="en-US"/>
        </w:rPr>
      </w:pPr>
      <w:r w:rsidRPr="6D7E27CD" w:rsidR="6D7E27CD">
        <w:rPr>
          <w:rFonts w:ascii="Aptos" w:hAnsi="Aptos" w:eastAsia="Aptos" w:cs="Aptos"/>
          <w:b w:val="1"/>
          <w:bCs w:val="1"/>
          <w:noProof w:val="0"/>
          <w:sz w:val="22"/>
          <w:szCs w:val="22"/>
          <w:lang w:val="en-US"/>
        </w:rPr>
        <w:t>Document all actions, communications, and outcomes</w:t>
      </w:r>
      <w:r w:rsidRPr="6D7E27CD" w:rsidR="6D7E27CD">
        <w:rPr>
          <w:rFonts w:ascii="Aptos" w:hAnsi="Aptos" w:eastAsia="Aptos" w:cs="Aptos"/>
          <w:noProof w:val="0"/>
          <w:sz w:val="22"/>
          <w:szCs w:val="22"/>
          <w:lang w:val="en-US"/>
        </w:rPr>
        <w:t xml:space="preserve"> in the patient’s account for auditing and future reference.</w:t>
      </w:r>
    </w:p>
    <w:p w:rsidR="6D7E27CD" w:rsidRDefault="6D7E27CD" w14:paraId="757EF394" w14:textId="50EEF377"/>
    <w:sectPr w:rsidR="007B5BB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4c26c86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fda13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C52499B"/>
    <w:multiLevelType w:val="multilevel"/>
    <w:tmpl w:val="0D90C5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781FC7"/>
    <w:multiLevelType w:val="multilevel"/>
    <w:tmpl w:val="BE0EB8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4">
    <w:abstractNumId w:val="3"/>
  </w:num>
  <w:num w:numId="3">
    <w:abstractNumId w:val="2"/>
  </w:num>
  <w:num w:numId="1" w16cid:durableId="773985510">
    <w:abstractNumId w:val="0"/>
  </w:num>
  <w:num w:numId="2" w16cid:durableId="126229928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96"/>
    <w:rsid w:val="007B5BBC"/>
    <w:rsid w:val="00B56021"/>
    <w:rsid w:val="00CC4896"/>
    <w:rsid w:val="6D7E2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73C2"/>
  <w15:chartTrackingRefBased/>
  <w15:docId w15:val="{6CAEFDDD-99AF-4E95-AD70-51C7BEC9D1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C489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89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89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C489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C489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C489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C489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C489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C489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C489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C489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C4896"/>
    <w:rPr>
      <w:rFonts w:eastAsiaTheme="majorEastAsia" w:cstheme="majorBidi"/>
      <w:color w:val="272727" w:themeColor="text1" w:themeTint="D8"/>
    </w:rPr>
  </w:style>
  <w:style w:type="paragraph" w:styleId="Title">
    <w:name w:val="Title"/>
    <w:basedOn w:val="Normal"/>
    <w:next w:val="Normal"/>
    <w:link w:val="TitleChar"/>
    <w:uiPriority w:val="10"/>
    <w:qFormat/>
    <w:rsid w:val="00CC489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489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C489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C4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896"/>
    <w:pPr>
      <w:spacing w:before="160"/>
      <w:jc w:val="center"/>
    </w:pPr>
    <w:rPr>
      <w:i/>
      <w:iCs/>
      <w:color w:val="404040" w:themeColor="text1" w:themeTint="BF"/>
    </w:rPr>
  </w:style>
  <w:style w:type="character" w:styleId="QuoteChar" w:customStyle="1">
    <w:name w:val="Quote Char"/>
    <w:basedOn w:val="DefaultParagraphFont"/>
    <w:link w:val="Quote"/>
    <w:uiPriority w:val="29"/>
    <w:rsid w:val="00CC4896"/>
    <w:rPr>
      <w:i/>
      <w:iCs/>
      <w:color w:val="404040" w:themeColor="text1" w:themeTint="BF"/>
    </w:rPr>
  </w:style>
  <w:style w:type="paragraph" w:styleId="ListParagraph">
    <w:name w:val="List Paragraph"/>
    <w:basedOn w:val="Normal"/>
    <w:uiPriority w:val="34"/>
    <w:qFormat/>
    <w:rsid w:val="00CC4896"/>
    <w:pPr>
      <w:ind w:left="720"/>
      <w:contextualSpacing/>
    </w:pPr>
  </w:style>
  <w:style w:type="character" w:styleId="IntenseEmphasis">
    <w:name w:val="Intense Emphasis"/>
    <w:basedOn w:val="DefaultParagraphFont"/>
    <w:uiPriority w:val="21"/>
    <w:qFormat/>
    <w:rsid w:val="00CC4896"/>
    <w:rPr>
      <w:i/>
      <w:iCs/>
      <w:color w:val="0F4761" w:themeColor="accent1" w:themeShade="BF"/>
    </w:rPr>
  </w:style>
  <w:style w:type="paragraph" w:styleId="IntenseQuote">
    <w:name w:val="Intense Quote"/>
    <w:basedOn w:val="Normal"/>
    <w:next w:val="Normal"/>
    <w:link w:val="IntenseQuoteChar"/>
    <w:uiPriority w:val="30"/>
    <w:qFormat/>
    <w:rsid w:val="00CC489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C4896"/>
    <w:rPr>
      <w:i/>
      <w:iCs/>
      <w:color w:val="0F4761" w:themeColor="accent1" w:themeShade="BF"/>
    </w:rPr>
  </w:style>
  <w:style w:type="character" w:styleId="IntenseReference">
    <w:name w:val="Intense Reference"/>
    <w:basedOn w:val="DefaultParagraphFont"/>
    <w:uiPriority w:val="32"/>
    <w:qFormat/>
    <w:rsid w:val="00CC48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160840">
      <w:bodyDiv w:val="1"/>
      <w:marLeft w:val="0"/>
      <w:marRight w:val="0"/>
      <w:marTop w:val="0"/>
      <w:marBottom w:val="0"/>
      <w:divBdr>
        <w:top w:val="none" w:sz="0" w:space="0" w:color="auto"/>
        <w:left w:val="none" w:sz="0" w:space="0" w:color="auto"/>
        <w:bottom w:val="none" w:sz="0" w:space="0" w:color="auto"/>
        <w:right w:val="none" w:sz="0" w:space="0" w:color="auto"/>
      </w:divBdr>
    </w:div>
    <w:div w:id="94079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Patterson</dc:creator>
  <keywords/>
  <dc:description/>
  <lastModifiedBy>JENNIFER PATTERSON</lastModifiedBy>
  <revision>2</revision>
  <dcterms:created xsi:type="dcterms:W3CDTF">2025-06-19T20:52:00.0000000Z</dcterms:created>
  <dcterms:modified xsi:type="dcterms:W3CDTF">2025-06-19T21:06:47.3755797Z</dcterms:modified>
</coreProperties>
</file>