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EC" w:rsidRDefault="00AF3BEC" w:rsidP="00AE4176">
      <w:pPr>
        <w:pStyle w:val="NoSpacing"/>
      </w:pPr>
      <w:bookmarkStart w:id="0" w:name="_GoBack"/>
      <w:bookmarkEnd w:id="0"/>
      <w:r w:rsidRPr="00E57576">
        <w:rPr>
          <w:noProof/>
        </w:rPr>
        <w:t>11/19/2025</w:t>
      </w:r>
    </w:p>
    <w:p w:rsidR="00AF3BEC" w:rsidRPr="00AE4176" w:rsidRDefault="00AF3BEC" w:rsidP="00AE4176">
      <w:pPr>
        <w:pStyle w:val="NoSpacing"/>
      </w:pPr>
    </w:p>
    <w:p w:rsidR="00AF3BEC" w:rsidRPr="00AE4176" w:rsidRDefault="00AF3BEC" w:rsidP="00AE4176">
      <w:pPr>
        <w:pStyle w:val="NoSpacing"/>
      </w:pPr>
      <w:r w:rsidRPr="00E57576">
        <w:rPr>
          <w:noProof/>
        </w:rPr>
        <w:t>MOLINA HEALTHCARE MS</w:t>
      </w:r>
    </w:p>
    <w:p w:rsidR="00AF3BEC" w:rsidRPr="00AE4176" w:rsidRDefault="00AF3BEC" w:rsidP="00AE4176">
      <w:pPr>
        <w:pStyle w:val="NoSpacing"/>
      </w:pPr>
      <w:r w:rsidRPr="00E57576">
        <w:rPr>
          <w:noProof/>
        </w:rPr>
        <w:t>Po Box 22618</w:t>
      </w:r>
    </w:p>
    <w:p w:rsidR="00AF3BEC" w:rsidRDefault="00AF3BEC" w:rsidP="00AE4176">
      <w:pPr>
        <w:pStyle w:val="NoSpacing"/>
      </w:pPr>
      <w:r w:rsidRPr="00E57576">
        <w:rPr>
          <w:noProof/>
        </w:rPr>
        <w:t>Long Beach</w:t>
      </w:r>
      <w:proofErr w:type="gramStart"/>
      <w:r w:rsidRPr="00AE4176">
        <w:t xml:space="preserve">,  </w:t>
      </w:r>
      <w:r w:rsidRPr="00E57576">
        <w:rPr>
          <w:noProof/>
        </w:rPr>
        <w:t>CA</w:t>
      </w:r>
      <w:proofErr w:type="gramEnd"/>
      <w:r w:rsidRPr="00AE4176">
        <w:t xml:space="preserve">,  </w:t>
      </w:r>
      <w:r w:rsidRPr="00E57576">
        <w:rPr>
          <w:noProof/>
        </w:rPr>
        <w:t xml:space="preserve">90801    </w:t>
      </w:r>
    </w:p>
    <w:p w:rsidR="00AF3BEC" w:rsidRDefault="00AF3BEC" w:rsidP="00AE4176">
      <w:pPr>
        <w:pStyle w:val="NoSpacing"/>
      </w:pPr>
    </w:p>
    <w:p w:rsidR="00AF3BEC" w:rsidRPr="00AE4176" w:rsidRDefault="00AF3BEC" w:rsidP="00AE4176">
      <w:pPr>
        <w:pStyle w:val="NoSpacing"/>
      </w:pPr>
      <w:r>
        <w:t>Fax: (601)359-9153</w:t>
      </w:r>
    </w:p>
    <w:p w:rsidR="00AF3BEC" w:rsidRPr="00AE4176" w:rsidRDefault="00AF3BEC" w:rsidP="00AE4176">
      <w:pPr>
        <w:pStyle w:val="NoSpacing"/>
      </w:pPr>
    </w:p>
    <w:p w:rsidR="00AF3BEC" w:rsidRPr="00AE4176" w:rsidRDefault="00AF3BEC" w:rsidP="00AE4176">
      <w:pPr>
        <w:pStyle w:val="NoSpacing"/>
      </w:pPr>
      <w:r w:rsidRPr="00AE4176">
        <w:t>Patient Name</w:t>
      </w:r>
      <w:r w:rsidRPr="00AE4176">
        <w:tab/>
      </w:r>
      <w:r w:rsidRPr="00AE4176">
        <w:tab/>
      </w:r>
      <w:r w:rsidRPr="00AE4176">
        <w:tab/>
      </w:r>
      <w:r w:rsidRPr="00E57576">
        <w:rPr>
          <w:noProof/>
        </w:rPr>
        <w:t>James P</w:t>
      </w:r>
      <w:r w:rsidRPr="00AE4176">
        <w:t xml:space="preserve">, </w:t>
      </w:r>
      <w:r w:rsidRPr="00E57576">
        <w:rPr>
          <w:noProof/>
        </w:rPr>
        <w:t>Smith Jr.</w:t>
      </w:r>
    </w:p>
    <w:p w:rsidR="00AF3BEC" w:rsidRPr="00AE4176" w:rsidRDefault="00AF3BEC" w:rsidP="00AE4176">
      <w:pPr>
        <w:pStyle w:val="NoSpacing"/>
      </w:pPr>
      <w:r w:rsidRPr="00AE4176">
        <w:t>Member Name</w:t>
      </w:r>
      <w:r w:rsidRPr="00AE4176">
        <w:tab/>
      </w:r>
      <w:r w:rsidRPr="00AE4176">
        <w:tab/>
      </w:r>
      <w:r w:rsidRPr="00AE4176">
        <w:tab/>
      </w:r>
      <w:r w:rsidRPr="00E57576">
        <w:rPr>
          <w:noProof/>
        </w:rPr>
        <w:t>James P Smith Jr.</w:t>
      </w:r>
    </w:p>
    <w:p w:rsidR="00AF3BEC" w:rsidRPr="00AE4176" w:rsidRDefault="00AF3BEC" w:rsidP="00AE4176">
      <w:pPr>
        <w:pStyle w:val="NoSpacing"/>
      </w:pPr>
      <w:r w:rsidRPr="00AE4176">
        <w:t>Policy Number</w:t>
      </w:r>
      <w:r w:rsidRPr="00AE4176">
        <w:tab/>
      </w:r>
      <w:r w:rsidRPr="00AE4176">
        <w:tab/>
      </w:r>
      <w:r w:rsidRPr="00AE4176">
        <w:tab/>
      </w:r>
      <w:r w:rsidRPr="00E57576">
        <w:rPr>
          <w:noProof/>
        </w:rPr>
        <w:t>852727470</w:t>
      </w:r>
    </w:p>
    <w:p w:rsidR="00AF3BEC" w:rsidRPr="00AE4176" w:rsidRDefault="00AF3BEC" w:rsidP="00AE4176">
      <w:pPr>
        <w:pStyle w:val="NoSpacing"/>
      </w:pPr>
      <w:r w:rsidRPr="00AE4176">
        <w:t>Date of Service</w:t>
      </w:r>
      <w:r w:rsidRPr="00AE4176">
        <w:tab/>
      </w:r>
      <w:r w:rsidRPr="00AE4176">
        <w:tab/>
      </w:r>
      <w:r w:rsidRPr="00AE4176">
        <w:tab/>
      </w:r>
      <w:r w:rsidRPr="00E57576">
        <w:rPr>
          <w:noProof/>
        </w:rPr>
        <w:t>08/19/2025</w:t>
      </w:r>
    </w:p>
    <w:p w:rsidR="00AF3BEC" w:rsidRPr="00AE4176" w:rsidRDefault="00AF3BEC" w:rsidP="00AE4176">
      <w:pPr>
        <w:pStyle w:val="NoSpacing"/>
      </w:pPr>
      <w:r w:rsidRPr="00AE4176">
        <w:t>Claim Number</w:t>
      </w:r>
      <w:r w:rsidRPr="00AE4176">
        <w:tab/>
      </w:r>
      <w:r w:rsidRPr="00AE4176">
        <w:tab/>
      </w:r>
      <w:r w:rsidRPr="00AE4176">
        <w:tab/>
      </w:r>
      <w:r w:rsidRPr="00E57576">
        <w:rPr>
          <w:noProof/>
        </w:rPr>
        <w:t>25254227019</w:t>
      </w:r>
    </w:p>
    <w:p w:rsidR="00AF3BEC" w:rsidRPr="00AE4176" w:rsidRDefault="00AF3BEC" w:rsidP="00AE4176">
      <w:pPr>
        <w:pStyle w:val="NoSpacing"/>
      </w:pPr>
      <w:r w:rsidRPr="00AE4176">
        <w:t>Billed Charges</w:t>
      </w:r>
      <w:r w:rsidRPr="00AE4176">
        <w:tab/>
      </w:r>
      <w:r w:rsidRPr="00AE4176">
        <w:tab/>
      </w:r>
      <w:r w:rsidRPr="00AE4176">
        <w:tab/>
      </w:r>
      <w:r w:rsidRPr="00E57576">
        <w:rPr>
          <w:noProof/>
        </w:rPr>
        <w:t>323.00</w:t>
      </w:r>
    </w:p>
    <w:p w:rsidR="00AF3BEC" w:rsidRPr="00AE4176" w:rsidRDefault="00AF3BEC" w:rsidP="00AE4176">
      <w:pPr>
        <w:pStyle w:val="NoSpacing"/>
      </w:pPr>
      <w:r w:rsidRPr="00AE4176">
        <w:t>Account Number</w:t>
      </w:r>
      <w:r w:rsidRPr="00AE4176">
        <w:tab/>
      </w:r>
      <w:r w:rsidRPr="00AE4176">
        <w:tab/>
      </w:r>
      <w:r w:rsidRPr="00E57576">
        <w:rPr>
          <w:noProof/>
        </w:rPr>
        <w:t>redm10723</w:t>
      </w:r>
    </w:p>
    <w:p w:rsidR="00AF3BEC" w:rsidRPr="00AE4176" w:rsidRDefault="00AF3BEC" w:rsidP="00AE4176">
      <w:pPr>
        <w:jc w:val="both"/>
      </w:pPr>
    </w:p>
    <w:p w:rsidR="00AF3BEC" w:rsidRPr="00AE4176" w:rsidRDefault="00AF3BEC" w:rsidP="00AE4176">
      <w:pPr>
        <w:jc w:val="both"/>
      </w:pPr>
      <w:r w:rsidRPr="00AE4176">
        <w:t xml:space="preserve">To Whom It May Concern, </w:t>
      </w:r>
    </w:p>
    <w:p w:rsidR="00AF3BEC" w:rsidRPr="00AE4176" w:rsidRDefault="00AF3BEC" w:rsidP="00AE4176">
      <w:pPr>
        <w:jc w:val="both"/>
      </w:pPr>
      <w:r w:rsidRPr="00AE4176">
        <w:t>We are writing to formally appeal the denial of coverage for the following CPT codes related to laboratory testing performed for a urinary tract infection (UTI) panel: 87481, 87641, 87651, 87653, and 87798.</w:t>
      </w:r>
    </w:p>
    <w:p w:rsidR="00AF3BEC" w:rsidRPr="00AE4176" w:rsidRDefault="00AF3BEC" w:rsidP="00AE4176">
      <w:pPr>
        <w:jc w:val="both"/>
      </w:pPr>
      <w:r w:rsidRPr="00AE4176">
        <w:t xml:space="preserve">Magnolia Health paid CPT 87563, indicating acknowledgment of the medical necessity for UTI-related testing. However, the additional CPT codes listed above—all of which are included on Magnolia Health’s published fee schedule— </w:t>
      </w:r>
      <w:hyperlink r:id="rId7" w:history="1">
        <w:r w:rsidRPr="00AE4176">
          <w:rPr>
            <w:rStyle w:val="Hyperlink"/>
          </w:rPr>
          <w:t>Clinical &amp; Payment Policies | Magnolia Health</w:t>
        </w:r>
      </w:hyperlink>
      <w:r w:rsidRPr="00AE4176">
        <w:t xml:space="preserve"> were denied with the explanation that services should be billed with the “appropriate code.” These codes were billed accurately and reflect distinct components of a medically necessary molecular pathogen panel for urinary tract infection diagnostics.</w:t>
      </w:r>
    </w:p>
    <w:p w:rsidR="00AF3BEC" w:rsidRPr="00AE4176" w:rsidRDefault="00AF3BEC" w:rsidP="00AE4176">
      <w:pPr>
        <w:jc w:val="both"/>
      </w:pPr>
      <w:r w:rsidRPr="00AE4176">
        <w:t>There is no published policy from Magnolia Health Plan or Mississippi Medicaid that excludes these services from coverage or requires alternate billing in this context. These codes are active, billable, and reimbursable per Magnolia’s fee schedule, demonstrating their appropriateness for claims submission when clinically justified.</w:t>
      </w:r>
    </w:p>
    <w:p w:rsidR="00AF3BEC" w:rsidRPr="00AE4176" w:rsidRDefault="00AF3BEC" w:rsidP="00AE4176">
      <w:pPr>
        <w:jc w:val="both"/>
      </w:pPr>
      <w:r w:rsidRPr="00AE4176">
        <w:t xml:space="preserve">Magnolia Health Policy: </w:t>
      </w:r>
      <w:r w:rsidRPr="00AE4176">
        <w:tab/>
      </w:r>
      <w:hyperlink r:id="rId8" w:history="1">
        <w:r w:rsidRPr="00AE4176">
          <w:rPr>
            <w:rStyle w:val="Hyperlink"/>
          </w:rPr>
          <w:t>Clinical &amp; Payment Policies | Magnolia Health</w:t>
        </w:r>
      </w:hyperlink>
    </w:p>
    <w:p w:rsidR="00AF3BEC" w:rsidRPr="00AE4176" w:rsidRDefault="00AF3BEC" w:rsidP="00AE4176">
      <w:pPr>
        <w:jc w:val="both"/>
      </w:pPr>
      <w:r w:rsidRPr="00AE4176">
        <w:t xml:space="preserve">Mississippi Medicaid Policy: </w:t>
      </w:r>
      <w:r w:rsidRPr="00AE4176">
        <w:tab/>
      </w:r>
      <w:hyperlink r:id="rId9" w:history="1">
        <w:r w:rsidRPr="00AE4176">
          <w:rPr>
            <w:rStyle w:val="Hyperlink"/>
          </w:rPr>
          <w:t>Administrative Code</w:t>
        </w:r>
      </w:hyperlink>
    </w:p>
    <w:p w:rsidR="00AF3BEC" w:rsidRPr="00AE4176" w:rsidRDefault="00AF3BEC" w:rsidP="00AE4176">
      <w:pPr>
        <w:numPr>
          <w:ilvl w:val="0"/>
          <w:numId w:val="1"/>
        </w:numPr>
        <w:jc w:val="both"/>
      </w:pPr>
      <w:r w:rsidRPr="00AE4176">
        <w:t>Title 23: Division of Medicaid Part 219: Laboratory Service</w:t>
      </w:r>
    </w:p>
    <w:p w:rsidR="00AF3BEC" w:rsidRPr="00AE4176" w:rsidRDefault="00AF3BEC" w:rsidP="00AE4176">
      <w:pPr>
        <w:numPr>
          <w:ilvl w:val="0"/>
          <w:numId w:val="1"/>
        </w:numPr>
        <w:jc w:val="both"/>
      </w:pPr>
      <w:r w:rsidRPr="00AE4176">
        <w:t>In Mississippi, </w:t>
      </w:r>
      <w:r w:rsidRPr="00AE4176">
        <w:rPr>
          <w:b/>
          <w:bCs/>
        </w:rPr>
        <w:t>outpatient testing and diagnostic services for urinary tract infections (UTIs) are covered when ordered by a physician and billed by an approved Medicaid provider</w:t>
      </w:r>
      <w:r w:rsidRPr="00AE4176">
        <w:t>. This includes services from physicians, physician clinics, Federally Qualified Health Centers, Rural Health Clinics, and county health department clinics. For more </w:t>
      </w:r>
      <w:r w:rsidRPr="00AE4176">
        <w:lastRenderedPageBreak/>
        <w:t>detailed information, you can refer to the Mississippi Division of Medicaid's official resources. </w:t>
      </w:r>
    </w:p>
    <w:p w:rsidR="00AF3BEC" w:rsidRPr="00AE4176" w:rsidRDefault="00AF3BEC" w:rsidP="00AE4176">
      <w:pPr>
        <w:jc w:val="both"/>
      </w:pPr>
      <w:r w:rsidRPr="00AE4176">
        <w:t>Each CPT code reflects essential diagnostic information necessary for the identification of specific bacterial or fungal organisms:</w:t>
      </w:r>
    </w:p>
    <w:p w:rsidR="00AF3BEC" w:rsidRPr="00AE4176" w:rsidRDefault="00AF3BEC" w:rsidP="00AE4176">
      <w:pPr>
        <w:numPr>
          <w:ilvl w:val="0"/>
          <w:numId w:val="1"/>
        </w:numPr>
        <w:jc w:val="both"/>
      </w:pPr>
      <w:r w:rsidRPr="00AE4176">
        <w:t>87481 – Detects DNA of specific bacterial pathogens</w:t>
      </w:r>
    </w:p>
    <w:p w:rsidR="00AF3BEC" w:rsidRPr="00AE4176" w:rsidRDefault="00AF3BEC" w:rsidP="00AE4176">
      <w:pPr>
        <w:numPr>
          <w:ilvl w:val="0"/>
          <w:numId w:val="1"/>
        </w:numPr>
        <w:jc w:val="both"/>
      </w:pPr>
      <w:r w:rsidRPr="00AE4176">
        <w:t xml:space="preserve">87641, 87651, 87653 – Target organisms such as </w:t>
      </w:r>
      <w:r w:rsidRPr="00AE4176">
        <w:rPr>
          <w:i/>
          <w:iCs/>
        </w:rPr>
        <w:t xml:space="preserve">Mycoplasma </w:t>
      </w:r>
      <w:proofErr w:type="spellStart"/>
      <w:r w:rsidRPr="00AE4176">
        <w:rPr>
          <w:i/>
          <w:iCs/>
        </w:rPr>
        <w:t>genitalium</w:t>
      </w:r>
      <w:proofErr w:type="spellEnd"/>
      <w:r w:rsidRPr="00AE4176">
        <w:t xml:space="preserve">, </w:t>
      </w:r>
      <w:r w:rsidRPr="00AE4176">
        <w:rPr>
          <w:i/>
          <w:iCs/>
        </w:rPr>
        <w:t>Neisseria gonorrhoeae</w:t>
      </w:r>
      <w:r w:rsidRPr="00AE4176">
        <w:t xml:space="preserve">, </w:t>
      </w:r>
      <w:r w:rsidRPr="00AE4176">
        <w:rPr>
          <w:i/>
          <w:iCs/>
        </w:rPr>
        <w:t>Trichomonas vaginalis</w:t>
      </w:r>
      <w:r w:rsidRPr="00AE4176">
        <w:t>, etc.</w:t>
      </w:r>
    </w:p>
    <w:p w:rsidR="00AF3BEC" w:rsidRPr="00AE4176" w:rsidRDefault="00AF3BEC" w:rsidP="00AE4176">
      <w:pPr>
        <w:numPr>
          <w:ilvl w:val="0"/>
          <w:numId w:val="1"/>
        </w:numPr>
        <w:jc w:val="both"/>
      </w:pPr>
      <w:r w:rsidRPr="00AE4176">
        <w:t>87798 – Detects additional pathogens not addressed by other codes</w:t>
      </w:r>
    </w:p>
    <w:p w:rsidR="00AF3BEC" w:rsidRPr="00AE4176" w:rsidRDefault="00AF3BEC" w:rsidP="00AE4176">
      <w:pPr>
        <w:jc w:val="both"/>
      </w:pPr>
      <w:r w:rsidRPr="00AE4176">
        <w:t>The decision to partially pay the panel (via CPT 87563) confirms both the medical necessity and appropriateness of testing. Therefore, the denial of the remaining codes appears inconsistent with both coverage criteria and standard billing practices.</w:t>
      </w:r>
    </w:p>
    <w:p w:rsidR="00AF3BEC" w:rsidRDefault="00AF3BEC" w:rsidP="00AE4176">
      <w:pPr>
        <w:jc w:val="both"/>
      </w:pPr>
      <w:r w:rsidRPr="00AE4176">
        <w:t>We have attached the patients’ medical records with our request for reconsideration and respectfully request that you reprocess this claim and issue payment for the denied services. If this appeal is still denied or determined unpayable, please provide the specific policy, guideline, or reference used in making this determination.</w:t>
      </w:r>
    </w:p>
    <w:p w:rsidR="00AF3BEC" w:rsidRDefault="00AF3BEC" w:rsidP="00AE4176">
      <w:pPr>
        <w:jc w:val="both"/>
      </w:pPr>
    </w:p>
    <w:p w:rsidR="00AF3BEC" w:rsidRPr="00AE4176" w:rsidRDefault="00AF3BEC" w:rsidP="00AE4176">
      <w:pPr>
        <w:pStyle w:val="NoSpacing"/>
      </w:pPr>
      <w:r w:rsidRPr="00AE4176">
        <w:t>Sincerely</w:t>
      </w:r>
    </w:p>
    <w:p w:rsidR="00AF3BEC" w:rsidRPr="00AE4176" w:rsidRDefault="00AF3BEC" w:rsidP="00AE4176">
      <w:pPr>
        <w:pStyle w:val="NoSpacing"/>
      </w:pPr>
      <w:r w:rsidRPr="00AE4176">
        <w:t xml:space="preserve"> </w:t>
      </w:r>
    </w:p>
    <w:p w:rsidR="00AF3BEC" w:rsidRPr="00AE4176" w:rsidRDefault="00AF3BEC" w:rsidP="00AE4176">
      <w:pPr>
        <w:pStyle w:val="NoSpacing"/>
      </w:pPr>
      <w:r w:rsidRPr="00AE4176">
        <w:t>Your Name</w:t>
      </w:r>
    </w:p>
    <w:p w:rsidR="00AF3BEC" w:rsidRPr="00AE4176" w:rsidRDefault="00AF3BEC" w:rsidP="00AE4176">
      <w:pPr>
        <w:pStyle w:val="NoSpacing"/>
      </w:pPr>
      <w:r w:rsidRPr="00AE4176">
        <w:t>Reimbursement Coordinator</w:t>
      </w:r>
    </w:p>
    <w:p w:rsidR="00AF3BEC" w:rsidRPr="00AE4176" w:rsidRDefault="00AF3BEC" w:rsidP="00AE4176">
      <w:pPr>
        <w:pStyle w:val="NoSpacing"/>
      </w:pPr>
      <w:r w:rsidRPr="00AE4176">
        <w:t xml:space="preserve">(833)749-8324, extension </w:t>
      </w:r>
    </w:p>
    <w:p w:rsidR="00AF3BEC" w:rsidRPr="00AE4176" w:rsidRDefault="00AF3BEC" w:rsidP="00AE4176">
      <w:pPr>
        <w:pStyle w:val="NoSpacing"/>
      </w:pPr>
      <w:hyperlink r:id="rId10" w:history="1">
        <w:r w:rsidRPr="00AE4176">
          <w:rPr>
            <w:rStyle w:val="Hyperlink"/>
          </w:rPr>
          <w:t>collections@phytechsolutions.com</w:t>
        </w:r>
      </w:hyperlink>
      <w:r w:rsidRPr="00AE4176">
        <w:t xml:space="preserve"> </w:t>
      </w:r>
    </w:p>
    <w:p w:rsidR="00AF3BEC" w:rsidRPr="00AE4176" w:rsidRDefault="00AF3BEC" w:rsidP="00AE4176">
      <w:pPr>
        <w:pStyle w:val="NoSpacing"/>
      </w:pPr>
    </w:p>
    <w:p w:rsidR="00AF3BEC" w:rsidRPr="00AE4176" w:rsidRDefault="00AF3BEC" w:rsidP="00AE4176">
      <w:pPr>
        <w:pStyle w:val="NoSpacing"/>
      </w:pPr>
      <w:r w:rsidRPr="00AE4176">
        <w:t xml:space="preserve">Enclosures:  </w:t>
      </w:r>
      <w:r w:rsidRPr="00AE4176">
        <w:tab/>
        <w:t>Medical Records</w:t>
      </w:r>
    </w:p>
    <w:p w:rsidR="00AF3BEC" w:rsidRPr="00AE4176" w:rsidRDefault="00AF3BEC" w:rsidP="00AE4176">
      <w:pPr>
        <w:pStyle w:val="NoSpacing"/>
      </w:pPr>
    </w:p>
    <w:p w:rsidR="00AF3BEC" w:rsidRPr="00AE4176" w:rsidRDefault="00AF3BEC" w:rsidP="00AE4176">
      <w:pPr>
        <w:jc w:val="both"/>
      </w:pPr>
    </w:p>
    <w:p w:rsidR="00AF3BEC" w:rsidRDefault="00AF3BEC" w:rsidP="00AE4176">
      <w:pPr>
        <w:jc w:val="both"/>
        <w:sectPr w:rsidR="00AF3BEC" w:rsidSect="00AF3BEC">
          <w:headerReference w:type="default" r:id="rId11"/>
          <w:pgSz w:w="12240" w:h="15840"/>
          <w:pgMar w:top="1440" w:right="1440" w:bottom="1440" w:left="1440" w:header="720" w:footer="720" w:gutter="0"/>
          <w:pgNumType w:start="1"/>
          <w:cols w:space="720"/>
          <w:docGrid w:linePitch="360"/>
        </w:sectPr>
      </w:pPr>
    </w:p>
    <w:p w:rsidR="00AF3BEC" w:rsidRDefault="00AF3BEC" w:rsidP="00AE4176">
      <w:pPr>
        <w:jc w:val="both"/>
      </w:pPr>
    </w:p>
    <w:sectPr w:rsidR="00AF3BEC" w:rsidSect="00AF3BEC">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E0" w:rsidRDefault="009A3BE0" w:rsidP="00AE4176">
      <w:pPr>
        <w:spacing w:after="0" w:line="240" w:lineRule="auto"/>
      </w:pPr>
      <w:r>
        <w:separator/>
      </w:r>
    </w:p>
  </w:endnote>
  <w:endnote w:type="continuationSeparator" w:id="0">
    <w:p w:rsidR="009A3BE0" w:rsidRDefault="009A3BE0" w:rsidP="00AE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E0" w:rsidRDefault="009A3BE0" w:rsidP="00AE4176">
      <w:pPr>
        <w:spacing w:after="0" w:line="240" w:lineRule="auto"/>
      </w:pPr>
      <w:r>
        <w:separator/>
      </w:r>
    </w:p>
  </w:footnote>
  <w:footnote w:type="continuationSeparator" w:id="0">
    <w:p w:rsidR="009A3BE0" w:rsidRDefault="009A3BE0" w:rsidP="00AE4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EC" w:rsidRDefault="00AF3BEC" w:rsidP="00AE4176">
    <w:pPr>
      <w:pStyle w:val="Header"/>
      <w:jc w:val="right"/>
    </w:pPr>
    <w:r w:rsidRPr="00AE4176">
      <w:rPr>
        <w:noProof/>
        <w:lang w:val="en-IN" w:eastAsia="en-IN"/>
      </w:rPr>
      <w:drawing>
        <wp:inline distT="0" distB="0" distL="0" distR="0" wp14:anchorId="69140FC1" wp14:editId="24A14CAB">
          <wp:extent cx="1981200" cy="923925"/>
          <wp:effectExtent l="0" t="0" r="0" b="9525"/>
          <wp:docPr id="1" name="Picture 4"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23925"/>
                  </a:xfrm>
                  <a:prstGeom prst="rect">
                    <a:avLst/>
                  </a:prstGeom>
                  <a:noFill/>
                  <a:ln>
                    <a:noFill/>
                  </a:ln>
                </pic:spPr>
              </pic:pic>
            </a:graphicData>
          </a:graphic>
        </wp:inline>
      </w:drawing>
    </w:r>
    <w:r w:rsidRPr="00AE4176">
      <w:br/>
    </w:r>
  </w:p>
  <w:p w:rsidR="00AF3BEC" w:rsidRPr="00AE4176" w:rsidRDefault="00AF3BEC" w:rsidP="00AE4176">
    <w:pPr>
      <w:pStyle w:val="Header"/>
      <w:jc w:val="right"/>
    </w:pPr>
    <w:r w:rsidRPr="00E57576">
      <w:rPr>
        <w:noProof/>
      </w:rPr>
      <w:t>12 BROOKES XING</w:t>
    </w:r>
  </w:p>
  <w:p w:rsidR="00AF3BEC" w:rsidRPr="00AE4176" w:rsidRDefault="00AF3BEC" w:rsidP="00AE4176">
    <w:pPr>
      <w:pStyle w:val="Header"/>
      <w:jc w:val="right"/>
    </w:pPr>
    <w:r w:rsidRPr="00E57576">
      <w:rPr>
        <w:noProof/>
      </w:rPr>
      <w:t>PONTOTOC</w:t>
    </w:r>
    <w:proofErr w:type="gramStart"/>
    <w:r w:rsidRPr="00AE4176">
      <w:t xml:space="preserve">,  </w:t>
    </w:r>
    <w:r w:rsidRPr="00E57576">
      <w:rPr>
        <w:noProof/>
      </w:rPr>
      <w:t>MS</w:t>
    </w:r>
    <w:proofErr w:type="gramEnd"/>
    <w:r w:rsidRPr="00AE4176">
      <w:t xml:space="preserve">,  </w:t>
    </w:r>
    <w:r w:rsidRPr="00E57576">
      <w:rPr>
        <w:noProof/>
      </w:rPr>
      <w:t xml:space="preserve">38863    </w:t>
    </w:r>
  </w:p>
  <w:p w:rsidR="00AF3BEC" w:rsidRDefault="00AF3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176" w:rsidRDefault="00AE4176" w:rsidP="00AE4176">
    <w:pPr>
      <w:pStyle w:val="Header"/>
      <w:jc w:val="right"/>
    </w:pPr>
    <w:bookmarkStart w:id="1" w:name="_Hlk206488753"/>
    <w:r w:rsidRPr="00AE4176">
      <w:rPr>
        <w:noProof/>
        <w:lang w:val="en-IN" w:eastAsia="en-IN"/>
      </w:rPr>
      <w:drawing>
        <wp:inline distT="0" distB="0" distL="0" distR="0" wp14:anchorId="69140FC1" wp14:editId="24A14CAB">
          <wp:extent cx="1981200" cy="923925"/>
          <wp:effectExtent l="0" t="0" r="0" b="9525"/>
          <wp:docPr id="1705628819" name="Picture 4"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23925"/>
                  </a:xfrm>
                  <a:prstGeom prst="rect">
                    <a:avLst/>
                  </a:prstGeom>
                  <a:noFill/>
                  <a:ln>
                    <a:noFill/>
                  </a:ln>
                </pic:spPr>
              </pic:pic>
            </a:graphicData>
          </a:graphic>
        </wp:inline>
      </w:drawing>
    </w:r>
    <w:r w:rsidRPr="00AE4176">
      <w:br/>
    </w:r>
  </w:p>
  <w:p w:rsidR="00AE4176" w:rsidRPr="00AE4176" w:rsidRDefault="008E0B9C" w:rsidP="00AE4176">
    <w:pPr>
      <w:pStyle w:val="Header"/>
      <w:jc w:val="right"/>
    </w:pPr>
    <w:r>
      <w:rPr>
        <w:noProof/>
      </w:rPr>
      <w:t>«PROVORGADDRESS1»</w:t>
    </w:r>
  </w:p>
  <w:p w:rsidR="00AE4176" w:rsidRPr="00AE4176" w:rsidRDefault="008E0B9C" w:rsidP="00AE4176">
    <w:pPr>
      <w:pStyle w:val="Header"/>
      <w:jc w:val="right"/>
    </w:pPr>
    <w:r>
      <w:rPr>
        <w:noProof/>
      </w:rPr>
      <w:t>«PROVORGADDRESS2»</w:t>
    </w:r>
  </w:p>
  <w:p w:rsidR="00AE4176" w:rsidRPr="00AE4176" w:rsidRDefault="008E0B9C" w:rsidP="00AE4176">
    <w:pPr>
      <w:pStyle w:val="Header"/>
      <w:jc w:val="right"/>
    </w:pPr>
    <w:r>
      <w:rPr>
        <w:noProof/>
      </w:rPr>
      <w:t>«PROVORGCITY»</w:t>
    </w:r>
    <w:proofErr w:type="gramStart"/>
    <w:r w:rsidR="00AE4176" w:rsidRPr="00AE4176">
      <w:t xml:space="preserve">,  </w:t>
    </w:r>
    <w:r>
      <w:rPr>
        <w:noProof/>
      </w:rPr>
      <w:t>«</w:t>
    </w:r>
    <w:proofErr w:type="gramEnd"/>
    <w:r>
      <w:rPr>
        <w:noProof/>
      </w:rPr>
      <w:t>PROVORGSTATE»</w:t>
    </w:r>
    <w:r w:rsidR="00AE4176" w:rsidRPr="00AE4176">
      <w:t xml:space="preserve">,  </w:t>
    </w:r>
    <w:r>
      <w:rPr>
        <w:noProof/>
      </w:rPr>
      <w:t>«PROVORGZIP»</w:t>
    </w:r>
    <w:bookmarkEnd w:id="1"/>
  </w:p>
  <w:p w:rsidR="00AE4176" w:rsidRDefault="00AE4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09F3AE3"/>
    <w:multiLevelType w:val="hybridMultilevel"/>
    <w:tmpl w:val="02828116"/>
    <w:lvl w:ilvl="0" w:tplc="A3DE196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D5"/>
    <w:rsid w:val="00035763"/>
    <w:rsid w:val="001B17D5"/>
    <w:rsid w:val="00386CB4"/>
    <w:rsid w:val="007B5BBC"/>
    <w:rsid w:val="0084789A"/>
    <w:rsid w:val="00850400"/>
    <w:rsid w:val="008E0B9C"/>
    <w:rsid w:val="009A3BE0"/>
    <w:rsid w:val="00AE4176"/>
    <w:rsid w:val="00AF3BEC"/>
    <w:rsid w:val="00B55824"/>
    <w:rsid w:val="00BA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19A3"/>
  <w15:chartTrackingRefBased/>
  <w15:docId w15:val="{FF977ACB-838A-490B-98D5-66DA4D43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D5"/>
    <w:rPr>
      <w:rFonts w:eastAsiaTheme="majorEastAsia" w:cstheme="majorBidi"/>
      <w:color w:val="272727" w:themeColor="text1" w:themeTint="D8"/>
    </w:rPr>
  </w:style>
  <w:style w:type="paragraph" w:styleId="Title">
    <w:name w:val="Title"/>
    <w:basedOn w:val="Normal"/>
    <w:next w:val="Normal"/>
    <w:link w:val="TitleChar"/>
    <w:uiPriority w:val="10"/>
    <w:qFormat/>
    <w:rsid w:val="001B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B17D5"/>
    <w:rPr>
      <w:i/>
      <w:iCs/>
      <w:color w:val="404040" w:themeColor="text1" w:themeTint="BF"/>
    </w:rPr>
  </w:style>
  <w:style w:type="paragraph" w:styleId="ListParagraph">
    <w:name w:val="List Paragraph"/>
    <w:basedOn w:val="Normal"/>
    <w:uiPriority w:val="34"/>
    <w:qFormat/>
    <w:rsid w:val="001B17D5"/>
    <w:pPr>
      <w:ind w:left="720"/>
      <w:contextualSpacing/>
    </w:pPr>
  </w:style>
  <w:style w:type="character" w:styleId="IntenseEmphasis">
    <w:name w:val="Intense Emphasis"/>
    <w:basedOn w:val="DefaultParagraphFont"/>
    <w:uiPriority w:val="21"/>
    <w:qFormat/>
    <w:rsid w:val="001B17D5"/>
    <w:rPr>
      <w:i/>
      <w:iCs/>
      <w:color w:val="0F4761" w:themeColor="accent1" w:themeShade="BF"/>
    </w:rPr>
  </w:style>
  <w:style w:type="paragraph" w:styleId="IntenseQuote">
    <w:name w:val="Intense Quote"/>
    <w:basedOn w:val="Normal"/>
    <w:next w:val="Normal"/>
    <w:link w:val="IntenseQuoteChar"/>
    <w:uiPriority w:val="30"/>
    <w:qFormat/>
    <w:rsid w:val="001B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7D5"/>
    <w:rPr>
      <w:i/>
      <w:iCs/>
      <w:color w:val="0F4761" w:themeColor="accent1" w:themeShade="BF"/>
    </w:rPr>
  </w:style>
  <w:style w:type="character" w:styleId="IntenseReference">
    <w:name w:val="Intense Reference"/>
    <w:basedOn w:val="DefaultParagraphFont"/>
    <w:uiPriority w:val="32"/>
    <w:qFormat/>
    <w:rsid w:val="001B17D5"/>
    <w:rPr>
      <w:b/>
      <w:bCs/>
      <w:smallCaps/>
      <w:color w:val="0F4761" w:themeColor="accent1" w:themeShade="BF"/>
      <w:spacing w:val="5"/>
    </w:rPr>
  </w:style>
  <w:style w:type="character" w:styleId="Hyperlink">
    <w:name w:val="Hyperlink"/>
    <w:basedOn w:val="DefaultParagraphFont"/>
    <w:uiPriority w:val="99"/>
    <w:unhideWhenUsed/>
    <w:rsid w:val="00AE4176"/>
    <w:rPr>
      <w:color w:val="467886" w:themeColor="hyperlink"/>
      <w:u w:val="single"/>
    </w:rPr>
  </w:style>
  <w:style w:type="character" w:customStyle="1" w:styleId="UnresolvedMention">
    <w:name w:val="Unresolved Mention"/>
    <w:basedOn w:val="DefaultParagraphFont"/>
    <w:uiPriority w:val="99"/>
    <w:semiHidden/>
    <w:unhideWhenUsed/>
    <w:rsid w:val="00AE4176"/>
    <w:rPr>
      <w:color w:val="605E5C"/>
      <w:shd w:val="clear" w:color="auto" w:fill="E1DFDD"/>
    </w:rPr>
  </w:style>
  <w:style w:type="paragraph" w:styleId="Header">
    <w:name w:val="header"/>
    <w:basedOn w:val="Normal"/>
    <w:link w:val="HeaderChar"/>
    <w:uiPriority w:val="99"/>
    <w:unhideWhenUsed/>
    <w:rsid w:val="00AE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76"/>
  </w:style>
  <w:style w:type="paragraph" w:styleId="Footer">
    <w:name w:val="footer"/>
    <w:basedOn w:val="Normal"/>
    <w:link w:val="FooterChar"/>
    <w:uiPriority w:val="99"/>
    <w:unhideWhenUsed/>
    <w:rsid w:val="00AE4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76"/>
  </w:style>
  <w:style w:type="paragraph" w:styleId="NoSpacing">
    <w:name w:val="No Spacing"/>
    <w:uiPriority w:val="1"/>
    <w:qFormat/>
    <w:rsid w:val="00AE4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noliahealthplan.com/providers/resources/clinical-payment-polici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gnoliahealthplan.com/providers/resources/clinical-payment-policies.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llections@phytechsolutions.com" TargetMode="External"/><Relationship Id="rId4" Type="http://schemas.openxmlformats.org/officeDocument/2006/relationships/webSettings" Target="webSettings.xml"/><Relationship Id="rId9" Type="http://schemas.openxmlformats.org/officeDocument/2006/relationships/hyperlink" Target="https://www.medicaid.ms.gov/wp-content/uploads/2014/10/Admin-Code-Part-219.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2025-11-19T11:46:00Z</dcterms:created>
  <dcterms:modified xsi:type="dcterms:W3CDTF">2025-11-19T11:46:00Z</dcterms:modified>
</cp:coreProperties>
</file>